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9"/>
        <w:widowControl w:val="true"/>
        <w:pBdr/>
        <w:spacing/>
        <w:ind w:right="0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</w:p>
    <w:p>
      <w:pPr>
        <w:pStyle w:val="869"/>
        <w:widowControl w:val="true"/>
        <w:pBdr/>
        <w:spacing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</w:r>
      <w:r>
        <w:rPr>
          <w:rFonts w:ascii="Times New Roman" w:hAnsi="Times New Roman" w:cs="Times New Roman"/>
          <w:b w:val="0"/>
          <w:i/>
          <w:sz w:val="28"/>
          <w:szCs w:val="28"/>
        </w:rPr>
      </w:r>
      <w:r>
        <w:rPr>
          <w:rFonts w:ascii="Times New Roman" w:hAnsi="Times New Roman" w:cs="Times New Roman"/>
          <w:b w:val="0"/>
          <w:i/>
          <w:sz w:val="28"/>
          <w:szCs w:val="28"/>
        </w:rPr>
      </w:r>
    </w:p>
    <w:p>
      <w:pPr>
        <w:pStyle w:val="869"/>
        <w:widowControl w:val="true"/>
        <w:pBdr/>
        <w:spacing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СОВЕТ ГОРОДСКОГО ПОСЕЛЕНИЯ «БУКАЧАЧИНСКОЕ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r>
    </w:p>
    <w:p>
      <w:pPr>
        <w:pStyle w:val="869"/>
        <w:widowControl w:val="true"/>
        <w:pBdr/>
        <w:spacing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  <w:t xml:space="preserve">РЕШЕНИЕ</w:t>
      </w:r>
      <w:r>
        <w:rPr>
          <w:b/>
        </w:rPr>
      </w:r>
      <w:r>
        <w:rPr>
          <w:b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jc w:val="center"/>
        <w:rPr/>
      </w:pPr>
      <w:r>
        <w:t xml:space="preserve">от «</w:t>
      </w:r>
      <w:r>
        <w:t xml:space="preserve">25</w:t>
      </w:r>
      <w:r>
        <w:t xml:space="preserve">»  </w:t>
      </w:r>
      <w:r>
        <w:t xml:space="preserve">ноября</w:t>
      </w:r>
      <w:r>
        <w:t xml:space="preserve"> </w:t>
      </w:r>
      <w:r>
        <w:t xml:space="preserve">20</w:t>
      </w:r>
      <w:r>
        <w:t xml:space="preserve">2</w:t>
      </w:r>
      <w:r>
        <w:t xml:space="preserve">4</w:t>
      </w:r>
      <w:r>
        <w:t xml:space="preserve"> года                                     </w:t>
      </w:r>
      <w:r>
        <w:t xml:space="preserve">                                №</w:t>
      </w:r>
      <w:r>
        <w:t xml:space="preserve"> </w:t>
      </w:r>
      <w:r>
        <w:rPr>
          <w:color w:val="auto"/>
        </w:rPr>
        <w:t xml:space="preserve">147</w: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color w:val="000000" w:themeColor="text1"/>
        </w:rPr>
      </w:pPr>
      <w:r>
        <w:rPr>
          <w:color w:val="000000" w:themeColor="text1"/>
        </w:rPr>
        <w:t xml:space="preserve">пгт. Букачача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внесении изменений в решение Совета городского поселения «Букачачинское» № 17 от 23.06.2021 года «Об</w:t>
      </w:r>
      <w:r>
        <w:rPr>
          <w:b/>
        </w:rPr>
        <w:t xml:space="preserve"> установлении </w:t>
      </w:r>
      <w:r>
        <w:rPr>
          <w:b/>
        </w:rPr>
        <w:t xml:space="preserve">земельного</w:t>
      </w:r>
      <w:r>
        <w:rPr>
          <w:b/>
        </w:rPr>
        <w:t xml:space="preserve"> </w:t>
      </w:r>
      <w:r>
        <w:rPr>
          <w:b/>
        </w:rPr>
        <w:t xml:space="preserve">налога на территории</w:t>
      </w:r>
      <w:r>
        <w:rPr>
          <w:b/>
        </w:rPr>
        <w:t xml:space="preserve"> </w:t>
      </w:r>
      <w:r>
        <w:rPr>
          <w:b/>
          <w:color w:val="000000" w:themeColor="text1"/>
        </w:rPr>
        <w:t xml:space="preserve">городского поселения «Букачачинское»</w:t>
      </w:r>
      <w:r>
        <w:rPr>
          <w:b/>
        </w:rPr>
      </w:r>
      <w:r>
        <w:rPr>
          <w:b/>
        </w:rPr>
      </w:r>
    </w:p>
    <w:p>
      <w:pPr>
        <w:pStyle w:val="870"/>
        <w:pBdr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firstLine="709"/>
        <w:jc w:val="both"/>
        <w:rPr>
          <w:color w:val="000000" w:themeColor="text1"/>
        </w:rPr>
      </w:pPr>
      <w:r>
        <w:t xml:space="preserve">В связи с вступлением в силу Федерального закона от 12.07.2024 года № 176-ФЗ «О внесении изменений в части первую и второю Нало</w:t>
      </w:r>
      <w:r>
        <w:t xml:space="preserve">го</w:t>
      </w:r>
      <w:r>
        <w:t xml:space="preserve">вого кодекса Российской Федерации и признании утратившим силу</w:t>
      </w:r>
      <w:r>
        <w:t xml:space="preserve"> отдельных положений</w:t>
      </w:r>
      <w:r>
        <w:t xml:space="preserve"> </w:t>
      </w:r>
      <w:r>
        <w:t xml:space="preserve">законодательных актов Российской Федерации,</w:t>
      </w:r>
      <w:r>
        <w:t xml:space="preserve"> руководств</w:t>
      </w:r>
      <w:r>
        <w:t xml:space="preserve">уясь Уставом </w:t>
      </w:r>
      <w:r>
        <w:t xml:space="preserve"> </w:t>
      </w:r>
      <w:r>
        <w:rPr>
          <w:color w:val="000000" w:themeColor="text1"/>
        </w:rPr>
        <w:t xml:space="preserve">городского поселения «Букачачинское»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Совет городского поселения «Букачачинское»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709"/>
        <w:jc w:val="both"/>
        <w:rPr/>
      </w:pPr>
      <w:r>
        <w:rPr>
          <w:i/>
        </w:rPr>
        <w:t xml:space="preserve"> </w:t>
      </w:r>
      <w:r>
        <w:rPr>
          <w:b/>
        </w:rPr>
        <w:t xml:space="preserve">решил</w:t>
      </w:r>
      <w:r>
        <w:t xml:space="preserve">:</w:t>
      </w:r>
      <w:r/>
    </w:p>
    <w:p>
      <w:pPr>
        <w:pBdr/>
        <w:spacing/>
        <w:ind w:firstLine="709"/>
        <w:jc w:val="both"/>
        <w:rPr/>
      </w:pPr>
      <w:r/>
      <w:r/>
    </w:p>
    <w:p>
      <w:pPr>
        <w:pBdr/>
        <w:spacing/>
        <w:ind w:firstLine="709"/>
        <w:jc w:val="both"/>
        <w:rPr/>
      </w:pPr>
      <w:r>
        <w:t xml:space="preserve">1. </w:t>
      </w:r>
      <w:r>
        <w:t xml:space="preserve"> </w:t>
      </w:r>
      <w:r>
        <w:t xml:space="preserve">П</w:t>
      </w:r>
      <w:r>
        <w:t xml:space="preserve">одпункт 1 пункта 2 изложить в следующей редакции:</w:t>
      </w:r>
      <w:r/>
    </w:p>
    <w:p>
      <w:pPr>
        <w:pBdr/>
        <w:spacing/>
        <w:ind w:firstLine="709"/>
        <w:jc w:val="both"/>
        <w:rPr/>
      </w:pPr>
      <w:r>
        <w:t xml:space="preserve">«</w:t>
      </w:r>
      <w:r>
        <w:t xml:space="preserve">1) </w:t>
      </w:r>
      <w:r>
        <w:rPr>
          <w:iCs/>
        </w:rPr>
        <w:t xml:space="preserve">0,3 процента</w:t>
      </w:r>
      <w:r>
        <w:t xml:space="preserve"> в отношении земельных участков:</w:t>
      </w:r>
      <w:r/>
    </w:p>
    <w:p>
      <w:pPr>
        <w:pBdr/>
        <w:spacing/>
        <w:ind w:firstLine="709"/>
        <w:jc w:val="both"/>
        <w:rPr/>
      </w:pPr>
      <w: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r/>
    </w:p>
    <w:p>
      <w:pPr>
        <w:pBdr/>
        <w:spacing/>
        <w:ind w:firstLine="709"/>
        <w:jc w:val="both"/>
        <w:rPr/>
      </w:pPr>
      <w:r>
        <w:rPr>
          <w:color w:val="000000"/>
          <w:shd w:val="clear" w:color="auto" w:fill="ffffff"/>
        </w:rPr>
        <w:t xml:space="preserve">занятых </w:t>
      </w:r>
      <w:hyperlink r:id="rId11" w:tooltip="https://www.consultant.ru/document/cons_doc_LAW_466787/fe99dd6f3781dbb9760856b276d3e28ff420f33e/#dst100149" w:anchor="dst100149" w:history="1">
        <w:r>
          <w:rPr>
            <w:rStyle w:val="872"/>
            <w:color w:val="1a0dab"/>
            <w:shd w:val="clear" w:color="auto" w:fill="ffffff"/>
          </w:rPr>
          <w:t xml:space="preserve">жилищным фондом</w:t>
        </w:r>
      </w:hyperlink>
      <w:r>
        <w:rPr>
          <w:color w:val="000000"/>
          <w:shd w:val="clear" w:color="auto" w:fill="ffffff"/>
        </w:rPr>
        <w:t xml:space="preserve"> и (или) объектами инженерной инфраструктуры жилищно-коммунального комплекса (за </w:t>
      </w:r>
      <w:hyperlink r:id="rId12" w:tooltip="https://www.consultant.ru/document/cons_doc_LAW_28165/fd2ac88b2311a6053a128cfa43aa07672e826213/" w:history="1">
        <w:r>
          <w:rPr>
            <w:rStyle w:val="872"/>
            <w:color w:val="1a0dab"/>
            <w:shd w:val="clear" w:color="auto" w:fill="ffffff"/>
          </w:rPr>
          <w:t xml:space="preserve">исключением</w:t>
        </w:r>
      </w:hyperlink>
      <w:r>
        <w:rPr>
          <w:color w:val="000000"/>
          <w:shd w:val="clear" w:color="auto" w:fill="ffffff"/>
        </w:rPr>
        <w:t xml:space="preserve"> </w:t>
      </w:r>
      <w:hyperlink r:id="rId13" w:tooltip="https://www.consultant.ru/document/cons_doc_LAW_466786/#dst100005" w:anchor="dst100005" w:history="1">
        <w:r>
          <w:rPr>
            <w:rStyle w:val="872"/>
            <w:color w:val="1a0dab"/>
            <w:shd w:val="clear" w:color="auto" w:fill="ffffff"/>
          </w:rPr>
          <w:t xml:space="preserve">части</w:t>
        </w:r>
      </w:hyperlink>
      <w:r>
        <w:rPr>
          <w:color w:val="000000"/>
          <w:shd w:val="clear" w:color="auto" w:fill="ffffff"/>
        </w:rPr>
        <w:t xml:space="preserve"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за </w:t>
      </w:r>
      <w:hyperlink r:id="rId14" w:tooltip="https://www.consultant.ru/document/cons_doc_LAW_452382/3dedc70824b817c6bfc388277e38622bd59c4da9/#dst100454" w:anchor="dst100454" w:history="1">
        <w:r>
          <w:rPr>
            <w:rStyle w:val="872"/>
            <w:color w:val="1a0dab"/>
            <w:shd w:val="clear" w:color="auto" w:fill="ffffff"/>
          </w:rPr>
          <w:t xml:space="preserve">исключением</w:t>
        </w:r>
      </w:hyperlink>
      <w:r>
        <w:rPr>
          <w:color w:val="000000"/>
          <w:shd w:val="clear" w:color="auto" w:fill="ffffff"/>
        </w:rPr>
        <w:t xml:space="preserve"> </w:t>
      </w:r>
      <w:r>
        <w:rPr>
          <w:color w:val="000000"/>
          <w:shd w:val="clear" w:color="auto" w:fill="ffffff"/>
        </w:rPr>
        <w:t xml:space="preserve">указанных в настоящем абзаце </w:t>
      </w:r>
      <w:r>
        <w:rPr>
          <w:color w:val="000000"/>
          <w:shd w:val="clear" w:color="auto" w:fill="ffffff"/>
        </w:rPr>
        <w:t xml:space="preserve">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>
        <w:rPr>
          <w:color w:val="000000"/>
          <w:shd w:val="clear" w:color="auto" w:fill="ffffff"/>
        </w:rPr>
        <w:t xml:space="preserve">, и земельных участков кадастровая стоимость каждого из которых превышает 300 миллионов рублей</w:t>
      </w:r>
      <w:r>
        <w:rPr>
          <w:color w:val="000000"/>
          <w:sz w:val="30"/>
          <w:szCs w:val="30"/>
          <w:shd w:val="clear" w:color="auto" w:fill="ffffff"/>
        </w:rPr>
        <w:t xml:space="preserve">;</w:t>
      </w:r>
      <w:r/>
    </w:p>
    <w:p>
      <w:pPr>
        <w:pBdr/>
        <w:spacing/>
        <w:ind w:firstLine="709"/>
        <w:jc w:val="both"/>
        <w:rPr/>
      </w:pPr>
      <w:r>
        <w:rPr>
          <w:color w:val="000000"/>
          <w:shd w:val="clear" w:color="auto" w:fill="ffffff"/>
        </w:rPr>
        <w:t xml:space="preserve">не используемых в предпринимательской деятельности, приобретенных (предоставленных) для ведения </w:t>
      </w:r>
      <w:hyperlink r:id="rId15" w:tooltip="https://www.consultant.ru/document/cons_doc_LAW_454116/de3626c40da3261c644a5c1a211f4a545e081762/#dst100022" w:anchor="dst100022" w:history="1">
        <w:r>
          <w:rPr>
            <w:rStyle w:val="872"/>
            <w:color w:val="1a0dab"/>
            <w:shd w:val="clear" w:color="auto" w:fill="ffffff"/>
          </w:rPr>
          <w:t xml:space="preserve">личного подсобного хозяйства</w:t>
        </w:r>
      </w:hyperlink>
      <w:r>
        <w:rPr>
          <w:color w:val="000000"/>
          <w:shd w:val="clear" w:color="auto" w:fill="ffffff"/>
        </w:rPr>
        <w:t xml:space="preserve">, садоводства или огородничества, а также земельных </w:t>
      </w:r>
      <w:hyperlink r:id="rId16" w:tooltip="https://www.consultant.ru/document/cons_doc_LAW_412647/f7143b4851ded1452c1745ae8456ef26b20d2190/#dst100011" w:anchor="dst100011" w:history="1">
        <w:r>
          <w:rPr>
            <w:rStyle w:val="872"/>
            <w:color w:val="1a0dab"/>
            <w:shd w:val="clear" w:color="auto" w:fill="ffffff"/>
          </w:rPr>
          <w:t xml:space="preserve">участков общего назначения</w:t>
        </w:r>
      </w:hyperlink>
      <w:r>
        <w:rPr>
          <w:color w:val="000000"/>
          <w:shd w:val="clear" w:color="auto" w:fill="ffffff"/>
        </w:rPr>
        <w:t xml:space="preserve">, предусмотренных Федеральным </w:t>
      </w:r>
      <w:hyperlink r:id="rId17" w:tooltip="https://www.consultant.ru/document/cons_doc_LAW_481366/" w:history="1">
        <w:r>
          <w:rPr>
            <w:rStyle w:val="872"/>
            <w:color w:val="1a0dab"/>
            <w:shd w:val="clear" w:color="auto" w:fill="ffffff"/>
          </w:rPr>
          <w:t xml:space="preserve">законом</w:t>
        </w:r>
      </w:hyperlink>
      <w:r>
        <w:rPr>
          <w:color w:val="000000"/>
          <w:shd w:val="clear" w:color="auto" w:fill="ffffff"/>
        </w:rPr>
        <w:t xml:space="preserve"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t xml:space="preserve">, за исключением указанных в настоящем абзаце земельных </w:t>
      </w:r>
      <w:r>
        <w:t xml:space="preserve">участков, кадастровая стоимость каждого из которых превышает 300 миллионов рублей</w:t>
      </w:r>
      <w:r>
        <w:t xml:space="preserve">; </w:t>
      </w:r>
      <w:r/>
    </w:p>
    <w:p>
      <w:pPr>
        <w:pBdr/>
        <w:spacing/>
        <w:ind w:firstLine="709"/>
        <w:jc w:val="both"/>
        <w:rPr/>
      </w:pPr>
      <w:r>
        <w:t xml:space="preserve"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t xml:space="preserve">.</w:t>
      </w:r>
      <w:r/>
    </w:p>
    <w:p>
      <w:pPr>
        <w:pBdr/>
        <w:spacing/>
        <w:ind w:firstLine="709"/>
        <w:jc w:val="both"/>
        <w:rPr/>
      </w:pPr>
      <w:r>
        <w:t xml:space="preserve">2</w:t>
      </w:r>
      <w:r>
        <w:t xml:space="preserve">. Настоящее решение</w:t>
      </w:r>
      <w:r>
        <w:t xml:space="preserve"> вступает в силу </w:t>
      </w:r>
      <w:r>
        <w:t xml:space="preserve">по истечении одного месяца со дня </w:t>
      </w:r>
      <w:r>
        <w:t xml:space="preserve">его </w:t>
      </w:r>
      <w:r>
        <w:t xml:space="preserve">официального опубликования</w:t>
      </w:r>
      <w:r>
        <w:t xml:space="preserve"> (обнародования)</w:t>
      </w:r>
      <w:r>
        <w:t xml:space="preserve">,</w:t>
      </w:r>
      <w:r>
        <w:t xml:space="preserve"> </w:t>
      </w:r>
      <w:r>
        <w:t xml:space="preserve">но</w:t>
      </w:r>
      <w:r>
        <w:t xml:space="preserve"> не ранее </w:t>
      </w:r>
      <w:r>
        <w:t xml:space="preserve">первого </w:t>
      </w:r>
      <w:r>
        <w:t xml:space="preserve">числа очередного налогового периода по налогу</w:t>
      </w:r>
      <w:r>
        <w:t xml:space="preserve">.</w:t>
      </w:r>
      <w:r/>
    </w:p>
    <w:p>
      <w:pPr>
        <w:pBdr/>
        <w:spacing/>
        <w:ind w:firstLine="709"/>
        <w:jc w:val="both"/>
        <w:rPr>
          <w:color w:val="000000" w:themeColor="text1"/>
        </w:rPr>
      </w:pPr>
      <w:r>
        <w:t xml:space="preserve">3</w:t>
      </w:r>
      <w:r>
        <w:t xml:space="preserve">. </w:t>
      </w:r>
      <w:r>
        <w:t xml:space="preserve">Настоящее решение опубликовать</w:t>
      </w:r>
      <w:r>
        <w:t xml:space="preserve"> (обнародовать)</w:t>
      </w:r>
      <w:r>
        <w:t xml:space="preserve"> </w:t>
      </w:r>
      <w:r>
        <w:rPr>
          <w:color w:val="000000" w:themeColor="text1"/>
        </w:rPr>
        <w:t xml:space="preserve">на информационном стенде в здании администрации и на официальном сайте администрации городского поселения «Букачачинское»: </w:t>
      </w:r>
      <w:r>
        <w:rPr>
          <w:color w:val="000000" w:themeColor="text1"/>
          <w:lang w:val="en-US"/>
        </w:rPr>
        <w:t xml:space="preserve">http</w:t>
      </w:r>
      <w:r>
        <w:rPr>
          <w:color w:val="000000" w:themeColor="text1"/>
        </w:rPr>
        <w:t xml:space="preserve">://</w:t>
      </w:r>
      <w:r>
        <w:rPr>
          <w:color w:val="000000" w:themeColor="text1"/>
          <w:lang w:val="en-US"/>
        </w:rPr>
        <w:t xml:space="preserve">bukachacha</w:t>
      </w:r>
      <w:r>
        <w:rPr>
          <w:color w:val="000000" w:themeColor="text1"/>
        </w:rPr>
        <w:t xml:space="preserve">.</w:t>
      </w:r>
      <w:r>
        <w:rPr>
          <w:color w:val="000000" w:themeColor="text1"/>
          <w:lang w:val="en-US"/>
        </w:rPr>
        <w:t xml:space="preserve">ru</w:t>
      </w:r>
      <w:r>
        <w:rPr>
          <w:color w:val="000000" w:themeColor="text1"/>
        </w:rPr>
        <w:t xml:space="preserve">/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709"/>
        <w:jc w:val="both"/>
        <w:rPr>
          <w:highlight w:val="none"/>
        </w:rPr>
      </w:pPr>
      <w:r>
        <w:t xml:space="preserve">7</w:t>
      </w:r>
      <w:r>
        <w:t xml:space="preserve">. Настоящее решение направить в </w:t>
      </w:r>
      <w:r>
        <w:t xml:space="preserve">Управление ФНС России</w:t>
      </w:r>
      <w:r>
        <w:t xml:space="preserve"> по Забайкальскому краю</w:t>
      </w:r>
      <w:r>
        <w:t xml:space="preserve"> не позднее рабочего дня, следующего за днем официального опубликования</w:t>
      </w:r>
      <w:r>
        <w:t xml:space="preserve">.</w:t>
      </w:r>
      <w:r>
        <w:rPr>
          <w:highlight w:val="none"/>
        </w:rPr>
      </w:r>
    </w:p>
    <w:p>
      <w:pPr>
        <w:pBdr/>
        <w:spacing/>
        <w:ind w:firstLine="0" w:left="720"/>
        <w:jc w:val="both"/>
        <w:rPr>
          <w:sz w:val="28"/>
          <w:szCs w:val="28"/>
        </w:rPr>
      </w:pPr>
      <w:r>
        <w:rPr>
          <w:highlight w:val="none"/>
        </w:rPr>
        <w:t xml:space="preserve">8. </w:t>
      </w:r>
      <w:r>
        <w:rPr>
          <w:sz w:val="28"/>
          <w:szCs w:val="28"/>
        </w:rPr>
        <w:t xml:space="preserve">Контроль исполнения настоящего Решения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19495" cy="1826322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746449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6119494" cy="1826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81.85pt;height:143.80pt;mso-wrap-distance-left:0.00pt;mso-wrap-distance-top:0.00pt;mso-wrap-distance-right:0.00pt;mso-wrap-distance-bottom:0.00pt;z-index:1;" stroked="false">
                <v:imagedata r:id="rId18" o:title=""/>
                <o:lock v:ext="edit" rotation="t"/>
              </v:shape>
            </w:pict>
          </mc:Fallback>
        </mc:AlternateContent>
      </w:r>
      <w:r/>
      <w:r/>
      <w:r/>
      <w:r/>
      <w:r/>
    </w:p>
    <w:sectPr>
      <w:headerReference w:type="default" r:id="rId9"/>
      <w:footnotePr/>
      <w:endnotePr/>
      <w:type w:val="nextPage"/>
      <w:pgSz w:h="16838" w:orient="portrait" w:w="11906"/>
      <w:pgMar w:top="851" w:right="851" w:bottom="851" w:left="1418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67"/>
      <w:pBdr/>
      <w:spacing/>
      <w:ind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>
    <w:name w:val="Table Grid"/>
    <w:basedOn w:val="86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 Light"/>
    <w:basedOn w:val="8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1"/>
    <w:basedOn w:val="8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2"/>
    <w:basedOn w:val="8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"/>
    <w:basedOn w:val="8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1"/>
    <w:basedOn w:val="8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2"/>
    <w:basedOn w:val="8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3"/>
    <w:basedOn w:val="8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4"/>
    <w:basedOn w:val="8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5"/>
    <w:basedOn w:val="8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6"/>
    <w:basedOn w:val="8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1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2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3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4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5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6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1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2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3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4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5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6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4">
    <w:name w:val="Heading 1"/>
    <w:basedOn w:val="862"/>
    <w:next w:val="862"/>
    <w:link w:val="82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5">
    <w:name w:val="Heading 2"/>
    <w:basedOn w:val="862"/>
    <w:next w:val="862"/>
    <w:link w:val="82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6">
    <w:name w:val="Heading 3"/>
    <w:basedOn w:val="862"/>
    <w:next w:val="862"/>
    <w:link w:val="82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7">
    <w:name w:val="Heading 4"/>
    <w:basedOn w:val="862"/>
    <w:next w:val="862"/>
    <w:link w:val="82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8">
    <w:name w:val="Heading 5"/>
    <w:basedOn w:val="862"/>
    <w:next w:val="862"/>
    <w:link w:val="82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19">
    <w:name w:val="Heading 6"/>
    <w:basedOn w:val="862"/>
    <w:next w:val="862"/>
    <w:link w:val="82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0">
    <w:name w:val="Heading 7"/>
    <w:basedOn w:val="862"/>
    <w:next w:val="862"/>
    <w:link w:val="82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1">
    <w:name w:val="Heading 8"/>
    <w:basedOn w:val="862"/>
    <w:next w:val="862"/>
    <w:link w:val="83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2">
    <w:name w:val="Heading 9"/>
    <w:basedOn w:val="862"/>
    <w:next w:val="862"/>
    <w:link w:val="83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3">
    <w:name w:val="Heading 1 Char"/>
    <w:basedOn w:val="863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4">
    <w:name w:val="Heading 2 Char"/>
    <w:basedOn w:val="863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5">
    <w:name w:val="Heading 3 Char"/>
    <w:basedOn w:val="863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6">
    <w:name w:val="Heading 4 Char"/>
    <w:basedOn w:val="863"/>
    <w:link w:val="81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27">
    <w:name w:val="Heading 5 Char"/>
    <w:basedOn w:val="863"/>
    <w:link w:val="81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28">
    <w:name w:val="Heading 6 Char"/>
    <w:basedOn w:val="863"/>
    <w:link w:val="81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9">
    <w:name w:val="Heading 7 Char"/>
    <w:basedOn w:val="863"/>
    <w:link w:val="82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0">
    <w:name w:val="Heading 8 Char"/>
    <w:basedOn w:val="863"/>
    <w:link w:val="82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1">
    <w:name w:val="Heading 9 Char"/>
    <w:basedOn w:val="863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2">
    <w:name w:val="Title"/>
    <w:basedOn w:val="862"/>
    <w:next w:val="862"/>
    <w:link w:val="83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3">
    <w:name w:val="Title Char"/>
    <w:basedOn w:val="863"/>
    <w:link w:val="83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4">
    <w:name w:val="Subtitle"/>
    <w:basedOn w:val="862"/>
    <w:next w:val="862"/>
    <w:link w:val="83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5">
    <w:name w:val="Subtitle Char"/>
    <w:basedOn w:val="863"/>
    <w:link w:val="83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6">
    <w:name w:val="Quote"/>
    <w:basedOn w:val="862"/>
    <w:next w:val="862"/>
    <w:link w:val="83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37">
    <w:name w:val="Quote Char"/>
    <w:basedOn w:val="863"/>
    <w:link w:val="83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38">
    <w:name w:val="List Paragraph"/>
    <w:basedOn w:val="862"/>
    <w:uiPriority w:val="34"/>
    <w:qFormat/>
    <w:pPr>
      <w:pBdr/>
      <w:spacing/>
      <w:ind w:left="720"/>
      <w:contextualSpacing w:val="true"/>
    </w:pPr>
  </w:style>
  <w:style w:type="character" w:styleId="839">
    <w:name w:val="Intense Emphasis"/>
    <w:basedOn w:val="86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0">
    <w:name w:val="Intense Quote"/>
    <w:basedOn w:val="862"/>
    <w:next w:val="862"/>
    <w:link w:val="84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1">
    <w:name w:val="Intense Quote Char"/>
    <w:basedOn w:val="863"/>
    <w:link w:val="84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2">
    <w:name w:val="Intense Reference"/>
    <w:basedOn w:val="86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3">
    <w:name w:val="No Spacing"/>
    <w:basedOn w:val="862"/>
    <w:uiPriority w:val="1"/>
    <w:qFormat/>
    <w:pPr>
      <w:pBdr/>
      <w:spacing w:after="0" w:line="240" w:lineRule="auto"/>
      <w:ind/>
    </w:pPr>
  </w:style>
  <w:style w:type="character" w:styleId="844">
    <w:name w:val="Subtle Emphasis"/>
    <w:basedOn w:val="86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5">
    <w:name w:val="Emphasis"/>
    <w:basedOn w:val="863"/>
    <w:uiPriority w:val="20"/>
    <w:qFormat/>
    <w:pPr>
      <w:pBdr/>
      <w:spacing/>
      <w:ind/>
    </w:pPr>
    <w:rPr>
      <w:i/>
      <w:iCs/>
    </w:rPr>
  </w:style>
  <w:style w:type="character" w:styleId="846">
    <w:name w:val="Strong"/>
    <w:basedOn w:val="863"/>
    <w:uiPriority w:val="22"/>
    <w:qFormat/>
    <w:pPr>
      <w:pBdr/>
      <w:spacing/>
      <w:ind/>
    </w:pPr>
    <w:rPr>
      <w:b/>
      <w:bCs/>
    </w:rPr>
  </w:style>
  <w:style w:type="character" w:styleId="847">
    <w:name w:val="Subtle Reference"/>
    <w:basedOn w:val="86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48">
    <w:name w:val="Book Title"/>
    <w:basedOn w:val="86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49">
    <w:name w:val="Header Char"/>
    <w:basedOn w:val="863"/>
    <w:link w:val="867"/>
    <w:uiPriority w:val="99"/>
    <w:pPr>
      <w:pBdr/>
      <w:spacing/>
      <w:ind/>
    </w:pPr>
  </w:style>
  <w:style w:type="paragraph" w:styleId="850">
    <w:name w:val="Footer"/>
    <w:basedOn w:val="862"/>
    <w:link w:val="85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1">
    <w:name w:val="Footer Char"/>
    <w:basedOn w:val="863"/>
    <w:link w:val="850"/>
    <w:uiPriority w:val="99"/>
    <w:pPr>
      <w:pBdr/>
      <w:spacing/>
      <w:ind/>
    </w:pPr>
  </w:style>
  <w:style w:type="paragraph" w:styleId="852">
    <w:name w:val="Caption"/>
    <w:basedOn w:val="862"/>
    <w:next w:val="86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3">
    <w:name w:val="footnote text"/>
    <w:basedOn w:val="862"/>
    <w:link w:val="85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4">
    <w:name w:val="Footnote Text Char"/>
    <w:basedOn w:val="863"/>
    <w:link w:val="853"/>
    <w:uiPriority w:val="99"/>
    <w:semiHidden/>
    <w:pPr>
      <w:pBdr/>
      <w:spacing/>
      <w:ind/>
    </w:pPr>
    <w:rPr>
      <w:sz w:val="20"/>
      <w:szCs w:val="20"/>
    </w:rPr>
  </w:style>
  <w:style w:type="character" w:styleId="855">
    <w:name w:val="footnote reference"/>
    <w:basedOn w:val="863"/>
    <w:uiPriority w:val="99"/>
    <w:semiHidden/>
    <w:unhideWhenUsed/>
    <w:pPr>
      <w:pBdr/>
      <w:spacing/>
      <w:ind/>
    </w:pPr>
    <w:rPr>
      <w:vertAlign w:val="superscript"/>
    </w:rPr>
  </w:style>
  <w:style w:type="paragraph" w:styleId="856">
    <w:name w:val="endnote text"/>
    <w:basedOn w:val="862"/>
    <w:link w:val="85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7">
    <w:name w:val="Endnote Text Char"/>
    <w:basedOn w:val="863"/>
    <w:link w:val="856"/>
    <w:uiPriority w:val="99"/>
    <w:semiHidden/>
    <w:pPr>
      <w:pBdr/>
      <w:spacing/>
      <w:ind/>
    </w:pPr>
    <w:rPr>
      <w:sz w:val="20"/>
      <w:szCs w:val="20"/>
    </w:rPr>
  </w:style>
  <w:style w:type="character" w:styleId="858">
    <w:name w:val="endnote reference"/>
    <w:basedOn w:val="863"/>
    <w:uiPriority w:val="99"/>
    <w:semiHidden/>
    <w:unhideWhenUsed/>
    <w:pPr>
      <w:pBdr/>
      <w:spacing/>
      <w:ind/>
    </w:pPr>
    <w:rPr>
      <w:vertAlign w:val="superscript"/>
    </w:rPr>
  </w:style>
  <w:style w:type="character" w:styleId="859">
    <w:name w:val="FollowedHyperlink"/>
    <w:basedOn w:val="86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0">
    <w:name w:val="TOC Heading"/>
    <w:uiPriority w:val="39"/>
    <w:unhideWhenUsed/>
    <w:pPr>
      <w:pBdr/>
      <w:spacing/>
      <w:ind/>
    </w:pPr>
  </w:style>
  <w:style w:type="paragraph" w:styleId="861">
    <w:name w:val="table of figures"/>
    <w:basedOn w:val="862"/>
    <w:next w:val="862"/>
    <w:uiPriority w:val="99"/>
    <w:unhideWhenUsed/>
    <w:pPr>
      <w:pBdr/>
      <w:spacing w:after="0" w:afterAutospacing="0"/>
      <w:ind/>
    </w:pPr>
  </w:style>
  <w:style w:type="paragraph" w:styleId="862" w:default="1">
    <w:name w:val="Normal"/>
    <w:qFormat/>
    <w:pPr>
      <w:pBdr/>
      <w:spacing/>
      <w:ind/>
    </w:pPr>
    <w:rPr>
      <w:sz w:val="28"/>
      <w:szCs w:val="28"/>
    </w:rPr>
  </w:style>
  <w:style w:type="character" w:styleId="863" w:default="1">
    <w:name w:val="Default Paragraph Font"/>
    <w:uiPriority w:val="1"/>
    <w:semiHidden/>
    <w:unhideWhenUsed/>
    <w:pPr>
      <w:pBdr/>
      <w:spacing/>
      <w:ind/>
    </w:pPr>
  </w:style>
  <w:style w:type="table" w:styleId="8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paragraph" w:styleId="866" w:customStyle="1">
    <w:name w:val="ConsPlusNormal"/>
    <w:pPr>
      <w:pBdr/>
      <w:spacing/>
      <w:ind/>
    </w:pPr>
    <w:rPr>
      <w:rFonts w:ascii="Arial" w:hAnsi="Arial" w:cs="Arial"/>
    </w:rPr>
  </w:style>
  <w:style w:type="paragraph" w:styleId="867">
    <w:name w:val="Header"/>
    <w:basedOn w:val="862"/>
    <w:link w:val="868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68" w:customStyle="1">
    <w:name w:val="Верхний колонтитул Знак"/>
    <w:basedOn w:val="863"/>
    <w:link w:val="867"/>
    <w:uiPriority w:val="99"/>
    <w:pPr>
      <w:pBdr/>
      <w:spacing/>
      <w:ind/>
    </w:pPr>
    <w:rPr>
      <w:rFonts w:cs="Times New Roman"/>
      <w:sz w:val="28"/>
      <w:szCs w:val="28"/>
    </w:rPr>
  </w:style>
  <w:style w:type="paragraph" w:styleId="869" w:customStyle="1">
    <w:name w:val="ConsTitle"/>
    <w:pPr>
      <w:widowControl w:val="false"/>
      <w:pBdr/>
      <w:spacing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870">
    <w:name w:val="Body Text Indent 3"/>
    <w:basedOn w:val="862"/>
    <w:link w:val="871"/>
    <w:uiPriority w:val="99"/>
    <w:pPr>
      <w:pBdr/>
      <w:spacing w:after="120"/>
      <w:ind w:left="283"/>
    </w:pPr>
    <w:rPr>
      <w:sz w:val="16"/>
      <w:szCs w:val="16"/>
    </w:rPr>
  </w:style>
  <w:style w:type="character" w:styleId="871" w:customStyle="1">
    <w:name w:val="Основной текст с отступом 3 Знак"/>
    <w:basedOn w:val="863"/>
    <w:link w:val="870"/>
    <w:uiPriority w:val="99"/>
    <w:pPr>
      <w:pBdr/>
      <w:spacing/>
      <w:ind/>
    </w:pPr>
    <w:rPr>
      <w:rFonts w:cs="Times New Roman"/>
      <w:sz w:val="16"/>
      <w:szCs w:val="16"/>
    </w:rPr>
  </w:style>
  <w:style w:type="character" w:styleId="872">
    <w:name w:val="Hyperlink"/>
    <w:basedOn w:val="863"/>
    <w:uiPriority w:val="99"/>
    <w:semiHidden/>
    <w:unhideWhenUsed/>
    <w:pPr>
      <w:pBdr/>
      <w:spacing/>
      <w:ind/>
    </w:pPr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consultant.ru/document/cons_doc_LAW_466787/fe99dd6f3781dbb9760856b276d3e28ff420f33e/" TargetMode="External"/><Relationship Id="rId12" Type="http://schemas.openxmlformats.org/officeDocument/2006/relationships/hyperlink" Target="https://www.consultant.ru/document/cons_doc_LAW_28165/fd2ac88b2311a6053a128cfa43aa07672e826213/" TargetMode="External"/><Relationship Id="rId13" Type="http://schemas.openxmlformats.org/officeDocument/2006/relationships/hyperlink" Target="https://www.consultant.ru/document/cons_doc_LAW_466786/" TargetMode="External"/><Relationship Id="rId14" Type="http://schemas.openxmlformats.org/officeDocument/2006/relationships/hyperlink" Target="https://www.consultant.ru/document/cons_doc_LAW_452382/3dedc70824b817c6bfc388277e38622bd59c4da9/" TargetMode="External"/><Relationship Id="rId15" Type="http://schemas.openxmlformats.org/officeDocument/2006/relationships/hyperlink" Target="https://www.consultant.ru/document/cons_doc_LAW_454116/de3626c40da3261c644a5c1a211f4a545e081762/" TargetMode="External"/><Relationship Id="rId16" Type="http://schemas.openxmlformats.org/officeDocument/2006/relationships/hyperlink" Target="https://www.consultant.ru/document/cons_doc_LAW_412647/f7143b4851ded1452c1745ae8456ef26b20d2190/" TargetMode="External"/><Relationship Id="rId17" Type="http://schemas.openxmlformats.org/officeDocument/2006/relationships/hyperlink" Target="https://www.consultant.ru/document/cons_doc_LAW_481366/" TargetMode="External"/><Relationship Id="rId1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B838-EABD-421E-9A6C-29CFD44C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station252</dc:creator>
  <cp:revision>6</cp:revision>
  <dcterms:created xsi:type="dcterms:W3CDTF">2024-11-21T06:28:00Z</dcterms:created>
  <dcterms:modified xsi:type="dcterms:W3CDTF">2024-11-26T06:12:29Z</dcterms:modified>
</cp:coreProperties>
</file>