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tabs>
          <w:tab w:val="center" w:leader="none" w:pos="4536"/>
          <w:tab w:val="left" w:leader="none" w:pos="7470"/>
        </w:tabs>
        <w:spacing w:after="0" w:line="240" w:lineRule="auto"/>
        <w:ind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tabs>
          <w:tab w:val="center" w:leader="none" w:pos="4536"/>
          <w:tab w:val="left" w:leader="none" w:pos="7470"/>
        </w:tabs>
        <w:spacing w:after="0" w:line="240" w:lineRule="auto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«БУКАЧАЧИНСКОЕ»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tabs>
          <w:tab w:val="center" w:leader="none" w:pos="4536"/>
          <w:tab w:val="left" w:leader="none" w:pos="7470"/>
        </w:tabs>
        <w:spacing w:after="0" w:line="240" w:lineRule="auto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hd w:val="clear" w:color="auto" w:fill="ffffff"/>
        <w:tabs>
          <w:tab w:val="left" w:leader="none" w:pos="8265"/>
        </w:tabs>
        <w:spacing w:after="0" w:line="240" w:lineRule="auto"/>
        <w:ind w:left="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hd w:val="clear" w:color="auto" w:fill="ffffff"/>
        <w:spacing w:after="0" w:line="240" w:lineRule="auto"/>
        <w:ind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   » _________ </w:t>
      </w:r>
      <w:r>
        <w:rPr>
          <w:rFonts w:ascii="Times New Roman" w:hAnsi="Times New Roman" w:cs="Times New Roman"/>
          <w:b/>
          <w:sz w:val="28"/>
          <w:szCs w:val="28"/>
        </w:rPr>
        <w:t xml:space="preserve">2024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№ __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hd w:val="clear" w:color="auto" w:fill="ffffff"/>
        <w:spacing w:after="0" w:line="240" w:lineRule="auto"/>
        <w:ind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п. Букачача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hd w:val="clear" w:color="auto" w:fill="ffffff"/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eastAsia="Calibri"/>
          <w:b/>
          <w:bCs/>
          <w:sz w:val="28"/>
          <w:szCs w:val="28"/>
          <w:lang w:eastAsia="en-US"/>
        </w:rPr>
        <w:t xml:space="preserve">Об утверждении </w:t>
      </w:r>
      <w:r>
        <w:rPr>
          <w:rFonts w:ascii="Times New Roman" w:hAnsi="Times New Roman" w:eastAsia="Calibri"/>
          <w:b/>
          <w:bCs/>
          <w:sz w:val="28"/>
          <w:szCs w:val="28"/>
          <w:lang w:eastAsia="en-US"/>
        </w:rPr>
        <w:t xml:space="preserve">п</w:t>
      </w:r>
      <w:r>
        <w:rPr>
          <w:rFonts w:ascii="Times New Roman" w:hAnsi="Times New Roman" w:cs="Times New Roman"/>
          <w:b/>
          <w:sz w:val="28"/>
          <w:szCs w:val="28"/>
        </w:rPr>
        <w:t xml:space="preserve">рограммы профилактики рисков причинения вреда (ущерба) охран</w:t>
      </w:r>
      <w:r>
        <w:rPr>
          <w:rFonts w:ascii="Times New Roman" w:hAnsi="Times New Roman" w:cs="Times New Roman"/>
          <w:b/>
          <w:sz w:val="28"/>
          <w:szCs w:val="28"/>
        </w:rPr>
        <w:t xml:space="preserve">яемым законом ценностям при осуществлении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b/>
          <w:sz w:val="28"/>
          <w:szCs w:val="28"/>
        </w:rPr>
        <w:t xml:space="preserve">в сфере земельного контроля </w:t>
      </w:r>
      <w:r>
        <w:rPr>
          <w:rFonts w:ascii="Times New Roman" w:hAnsi="Times New Roman"/>
          <w:b/>
          <w:bCs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bCs/>
          <w:sz w:val="28"/>
          <w:szCs w:val="28"/>
        </w:rPr>
        <w:t xml:space="preserve">городского поселения «Букачачинское»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tabs>
          <w:tab w:val="left" w:leader="none" w:pos="3634"/>
        </w:tabs>
        <w:spacing w:after="0" w:line="240" w:lineRule="auto"/>
        <w:ind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tabs>
          <w:tab w:val="left" w:leader="none" w:pos="3634"/>
        </w:tabs>
        <w:spacing w:after="0" w:line="240" w:lineRule="auto"/>
        <w:ind/>
        <w:jc w:val="center"/>
        <w:rPr>
          <w:rFonts w:ascii="Times New Roman" w:hAnsi="Times New Roman" w:eastAsia="Calibri"/>
          <w:b/>
          <w:bCs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bCs/>
          <w:sz w:val="28"/>
          <w:szCs w:val="28"/>
          <w:lang w:eastAsia="en-US"/>
        </w:rPr>
      </w:r>
      <w:r>
        <w:rPr>
          <w:rFonts w:ascii="Times New Roman" w:hAnsi="Times New Roman" w:eastAsia="Calibri"/>
          <w:b/>
          <w:bCs/>
          <w:sz w:val="28"/>
          <w:szCs w:val="28"/>
          <w:lang w:eastAsia="en-US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частью 2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</w:t>
      </w:r>
      <w:bookmarkStart w:id="0" w:name="_Hlk499881751"/>
      <w:r>
        <w:rPr>
          <w:rFonts w:ascii="Times New Roman" w:hAnsi="Times New Roman" w:eastAsia="Times New Roman" w:cs="Times New Roman"/>
          <w:sz w:val="28"/>
          <w:szCs w:val="28"/>
        </w:rPr>
        <w:t xml:space="preserve">б утверждении Правил разработки и утверждения контрольными (надзорными) органами программы профилактики рисков причинения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вреда (ущерба) охраняемым законо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 ценностям»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руководствуясь Устав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ом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городского поселения «Букачачинское»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«Букачачинское»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r>
        <w:rPr>
          <w:rFonts w:ascii="Times New Roman" w:hAnsi="Times New Roman" w:cs="Times New Roman"/>
          <w:b/>
          <w:sz w:val="28"/>
          <w:szCs w:val="28"/>
        </w:rPr>
        <w:t xml:space="preserve">т</w:t>
      </w:r>
      <w:r>
        <w:rPr>
          <w:rFonts w:ascii="Times New Roman" w:hAnsi="Times New Roman" w:cs="Times New Roman"/>
          <w:b/>
          <w:sz w:val="28"/>
          <w:szCs w:val="28"/>
        </w:rPr>
        <w:t xml:space="preserve"> а н о в л я е 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709"/>
        </w:tabs>
        <w:spacing w:after="0" w:line="240" w:lineRule="auto"/>
        <w:ind w:firstLine="709"/>
        <w:jc w:val="both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</w:r>
      <w:r>
        <w:rPr>
          <w:rFonts w:ascii="Times New Roman" w:hAnsi="Times New Roman" w:eastAsia="Calibri"/>
          <w:sz w:val="24"/>
          <w:szCs w:val="24"/>
          <w:lang w:eastAsia="en-US"/>
        </w:rPr>
      </w:r>
    </w:p>
    <w:p>
      <w:pPr>
        <w:pBdr/>
        <w:shd w:val="clear" w:color="auto" w:fill="ffffff"/>
        <w:spacing w:after="0" w:line="240" w:lineRule="auto"/>
        <w:ind/>
        <w:jc w:val="both"/>
        <w:rPr>
          <w:rFonts w:ascii="Times New Roman" w:hAnsi="Times New Roman" w:eastAsia="Calibri"/>
          <w:bCs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1. Утвердить 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рограмму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 </w:t>
      </w:r>
      <w:r>
        <w:rPr>
          <w:rFonts w:ascii="Times New Roman" w:hAnsi="Times New Roman" w:cs="Times New Roman"/>
          <w:sz w:val="28"/>
          <w:szCs w:val="28"/>
        </w:rPr>
        <w:t xml:space="preserve">в сфере земельного контроля </w:t>
      </w:r>
      <w:r>
        <w:rPr>
          <w:rFonts w:ascii="Times New Roman" w:hAnsi="Times New Roman"/>
          <w:bCs/>
          <w:sz w:val="28"/>
          <w:szCs w:val="28"/>
        </w:rPr>
        <w:t xml:space="preserve">на территории </w:t>
      </w:r>
      <w:r>
        <w:rPr>
          <w:rFonts w:ascii="Times New Roman" w:hAnsi="Times New Roman"/>
          <w:bCs/>
          <w:sz w:val="28"/>
          <w:szCs w:val="28"/>
        </w:rPr>
        <w:t xml:space="preserve">городского поселения «Букачачинское»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bookmarkStart w:id="1" w:name="_GoBack"/>
      <w:r/>
      <w:bookmarkEnd w:id="1"/>
      <w:r>
        <w:rPr>
          <w:rFonts w:ascii="Times New Roman" w:hAnsi="Times New Roman" w:eastAsia="Calibri"/>
          <w:sz w:val="28"/>
          <w:szCs w:val="28"/>
          <w:lang w:eastAsia="en-US"/>
        </w:rPr>
        <w:t xml:space="preserve"> (прилагается).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2.Настоящее Постановление разместить на официальном сайте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администрации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городского поселения «Букачачинское»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hhtp</w:t>
      </w:r>
      <w:r>
        <w:rPr>
          <w:rFonts w:ascii="Times New Roman" w:hAnsi="Times New Roman" w:cs="Times New Roman"/>
          <w:sz w:val="28"/>
          <w:szCs w:val="28"/>
        </w:rPr>
        <w:t xml:space="preserve">://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bukachacha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в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разделе – Документы. 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3. Настоящее постановление вступает в силу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на следующий день после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его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опубликования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.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4.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Контроль за исполнением настоящего постановления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оставляю за собой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.</w:t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eastAsia="Calibri"/>
          <w:b/>
          <w:bCs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bCs/>
          <w:sz w:val="28"/>
          <w:szCs w:val="28"/>
          <w:lang w:eastAsia="en-US"/>
        </w:rPr>
      </w:r>
      <w:r>
        <w:rPr>
          <w:rFonts w:ascii="Times New Roman" w:hAnsi="Times New Roman" w:eastAsia="Calibri"/>
          <w:b/>
          <w:bCs/>
          <w:sz w:val="28"/>
          <w:szCs w:val="28"/>
          <w:lang w:eastAsia="en-US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eastAsia="Calibri"/>
          <w:b/>
          <w:bCs/>
          <w:sz w:val="24"/>
          <w:szCs w:val="24"/>
          <w:lang w:eastAsia="en-US"/>
        </w:rPr>
      </w:pPr>
      <w:r>
        <w:rPr>
          <w:rFonts w:ascii="Times New Roman" w:hAnsi="Times New Roman" w:eastAsia="Calibri"/>
          <w:b/>
          <w:bCs/>
          <w:sz w:val="24"/>
          <w:szCs w:val="24"/>
          <w:lang w:eastAsia="en-US"/>
        </w:rPr>
      </w:r>
      <w:r>
        <w:rPr>
          <w:rFonts w:ascii="Times New Roman" w:hAnsi="Times New Roman" w:eastAsia="Calibri"/>
          <w:b/>
          <w:bCs/>
          <w:sz w:val="24"/>
          <w:szCs w:val="24"/>
          <w:lang w:eastAsia="en-US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eastAsia="Calibri"/>
          <w:b/>
          <w:bCs/>
          <w:sz w:val="24"/>
          <w:szCs w:val="24"/>
          <w:lang w:eastAsia="en-US"/>
        </w:rPr>
      </w:pPr>
      <w:r>
        <w:rPr>
          <w:rFonts w:ascii="Times New Roman" w:hAnsi="Times New Roman" w:eastAsia="Calibri"/>
          <w:b/>
          <w:bCs/>
          <w:sz w:val="24"/>
          <w:szCs w:val="24"/>
          <w:lang w:eastAsia="en-US"/>
        </w:rPr>
      </w:r>
      <w:r>
        <w:rPr>
          <w:rFonts w:ascii="Times New Roman" w:hAnsi="Times New Roman" w:eastAsia="Calibri"/>
          <w:b/>
          <w:bCs/>
          <w:sz w:val="24"/>
          <w:szCs w:val="24"/>
          <w:lang w:eastAsia="en-US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eastAsia="Calibri"/>
          <w:b/>
          <w:bCs/>
          <w:sz w:val="24"/>
          <w:szCs w:val="24"/>
          <w:lang w:eastAsia="en-US"/>
        </w:rPr>
      </w:pPr>
      <w:r>
        <w:rPr>
          <w:rFonts w:ascii="Times New Roman" w:hAnsi="Times New Roman" w:eastAsia="Calibri"/>
          <w:b/>
          <w:bCs/>
          <w:sz w:val="24"/>
          <w:szCs w:val="24"/>
          <w:lang w:eastAsia="en-US"/>
        </w:rPr>
      </w:r>
      <w:r>
        <w:rPr>
          <w:rFonts w:ascii="Times New Roman" w:hAnsi="Times New Roman" w:eastAsia="Calibri"/>
          <w:b/>
          <w:bCs/>
          <w:sz w:val="24"/>
          <w:szCs w:val="24"/>
          <w:lang w:eastAsia="en-US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eastAsia="Calibri"/>
          <w:bCs/>
          <w:sz w:val="28"/>
          <w:szCs w:val="28"/>
          <w:lang w:eastAsia="en-US"/>
        </w:rPr>
      </w:pP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И.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о.главы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 городского поселения 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eastAsia="Calibri"/>
          <w:bCs/>
          <w:sz w:val="28"/>
          <w:szCs w:val="28"/>
          <w:lang w:eastAsia="en-US"/>
        </w:rPr>
      </w:pP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«Букачачинское»                                                                 А.А.Огаркова 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bCs/>
          <w:sz w:val="28"/>
          <w:szCs w:val="28"/>
          <w:lang w:eastAsia="en-US"/>
        </w:rPr>
        <w:tab/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eastAsia="Calibri"/>
          <w:bCs/>
          <w:sz w:val="28"/>
          <w:szCs w:val="28"/>
          <w:lang w:eastAsia="en-US"/>
        </w:rPr>
      </w:pP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            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    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  <w:t xml:space="preserve">                      </w:t>
      </w:r>
      <w:r>
        <w:rPr>
          <w:rFonts w:ascii="Times New Roman" w:hAnsi="Times New Roman" w:eastAsia="Calibri"/>
          <w:bCs/>
          <w:sz w:val="28"/>
          <w:szCs w:val="28"/>
          <w:lang w:eastAsia="en-US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654"/>
        <w:pBdr/>
        <w:spacing w:after="0" w:afterAutospacing="0" w:before="0" w:beforeAutospacing="0"/>
        <w:ind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Style w:val="654"/>
        <w:pBdr/>
        <w:spacing w:after="0" w:afterAutospacing="0" w:before="0" w:beforeAutospacing="0"/>
        <w:ind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Приложение</w:t>
      </w:r>
      <w:r>
        <w:rPr>
          <w:rFonts w:eastAsia="Calibri"/>
          <w:bCs/>
          <w:lang w:eastAsia="en-US"/>
        </w:rPr>
      </w:r>
    </w:p>
    <w:p>
      <w:pPr>
        <w:pStyle w:val="654"/>
        <w:pBdr/>
        <w:spacing w:after="0" w:afterAutospacing="0" w:before="0" w:beforeAutospacing="0"/>
        <w:ind/>
        <w:jc w:val="right"/>
        <w:rPr/>
      </w:pPr>
      <w:r>
        <w:t xml:space="preserve">к </w:t>
      </w:r>
      <w:hyperlink r:id="rId9" w:tooltip="Перейти к тексту Постановления" w:history="1">
        <w:r>
          <w:rPr>
            <w:rStyle w:val="653"/>
            <w:b w:val="0"/>
          </w:rPr>
          <w:t xml:space="preserve">постановлению</w:t>
        </w:r>
        <w:r>
          <w:rPr>
            <w:rStyle w:val="653"/>
            <w:b w:val="0"/>
          </w:rPr>
          <w:t xml:space="preserve"> </w:t>
        </w:r>
        <w:r>
          <w:rPr>
            <w:rStyle w:val="653"/>
            <w:b w:val="0"/>
          </w:rPr>
          <w:t xml:space="preserve">а</w:t>
        </w:r>
        <w:r>
          <w:rPr>
            <w:rStyle w:val="653"/>
            <w:b w:val="0"/>
          </w:rPr>
          <w:t xml:space="preserve">дминистрации</w:t>
        </w:r>
      </w:hyperlink>
      <w:r>
        <w:rPr>
          <w:b/>
        </w:rPr>
        <w:br/>
      </w:r>
      <w:r>
        <w:t xml:space="preserve">горо</w:t>
      </w:r>
      <w:r>
        <w:t xml:space="preserve">дского поселения «Букачачинское</w:t>
      </w:r>
      <w:r/>
    </w:p>
    <w:p>
      <w:pPr>
        <w:pStyle w:val="654"/>
        <w:pBdr/>
        <w:spacing w:after="0" w:afterAutospacing="0" w:before="0" w:beforeAutospacing="0"/>
        <w:ind/>
        <w:jc w:val="right"/>
        <w:rPr>
          <w:rStyle w:val="653"/>
          <w:bCs w:val="0"/>
        </w:rPr>
      </w:pPr>
      <w:r>
        <w:rPr>
          <w:rStyle w:val="653"/>
          <w:b w:val="0"/>
        </w:rPr>
        <w:t xml:space="preserve">от «__</w:t>
      </w:r>
      <w:r>
        <w:rPr>
          <w:rStyle w:val="653"/>
          <w:b w:val="0"/>
        </w:rPr>
        <w:t xml:space="preserve">» </w:t>
      </w:r>
      <w:r>
        <w:rPr>
          <w:rStyle w:val="653"/>
          <w:b w:val="0"/>
        </w:rPr>
        <w:t xml:space="preserve">_____2024</w:t>
      </w:r>
      <w:r>
        <w:rPr>
          <w:rStyle w:val="653"/>
          <w:b w:val="0"/>
        </w:rPr>
        <w:t xml:space="preserve"> </w:t>
      </w:r>
      <w:r>
        <w:rPr>
          <w:rStyle w:val="653"/>
          <w:b w:val="0"/>
        </w:rPr>
        <w:t xml:space="preserve">г.  №</w:t>
      </w:r>
      <w:r>
        <w:rPr>
          <w:rStyle w:val="653"/>
          <w:b w:val="0"/>
        </w:rPr>
        <w:t xml:space="preserve"> ___</w:t>
      </w:r>
      <w:r>
        <w:rPr>
          <w:rStyle w:val="653"/>
          <w:bCs w:val="0"/>
        </w:rPr>
      </w:r>
    </w:p>
    <w:p>
      <w:pPr>
        <w:pStyle w:val="655"/>
        <w:pBdr/>
        <w:spacing/>
        <w:ind/>
        <w:jc w:val="center"/>
        <w:rPr>
          <w:rStyle w:val="65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Style w:val="653"/>
          <w:rFonts w:ascii="Times New Roman" w:hAnsi="Times New Roman" w:cs="Times New Roman"/>
          <w:sz w:val="24"/>
          <w:szCs w:val="24"/>
        </w:rPr>
      </w:r>
    </w:p>
    <w:p>
      <w:pPr>
        <w:pStyle w:val="655"/>
        <w:pBdr/>
        <w:spacing/>
        <w:ind/>
        <w:jc w:val="center"/>
        <w:rPr>
          <w:rStyle w:val="65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Style w:val="653"/>
          <w:rFonts w:ascii="Times New Roman" w:hAnsi="Times New Roman" w:cs="Times New Roman"/>
          <w:sz w:val="24"/>
          <w:szCs w:val="24"/>
        </w:rPr>
      </w:r>
    </w:p>
    <w:p>
      <w:pPr>
        <w:pStyle w:val="654"/>
        <w:pBdr/>
        <w:spacing w:after="0" w:afterAutospacing="0" w:before="0" w:beforeAutospacing="0"/>
        <w:ind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  <w:r>
        <w:rPr>
          <w:b/>
          <w:sz w:val="28"/>
          <w:szCs w:val="28"/>
        </w:rPr>
        <w:t xml:space="preserve">профилактики рисков причинения вреда (ущерба) охран</w:t>
      </w:r>
      <w:r>
        <w:rPr>
          <w:b/>
          <w:sz w:val="28"/>
          <w:szCs w:val="28"/>
        </w:rPr>
        <w:t xml:space="preserve">яемым законом ценностям при осуществлении муниципального</w:t>
      </w:r>
      <w:r>
        <w:rPr>
          <w:b/>
          <w:sz w:val="28"/>
          <w:szCs w:val="28"/>
        </w:rPr>
        <w:t xml:space="preserve"> контроля </w:t>
      </w:r>
      <w:r>
        <w:rPr>
          <w:b/>
          <w:sz w:val="28"/>
          <w:szCs w:val="28"/>
        </w:rPr>
        <w:t xml:space="preserve">в сфере земельного контроля </w:t>
      </w:r>
      <w:r>
        <w:rPr>
          <w:b/>
          <w:bCs/>
          <w:sz w:val="28"/>
          <w:szCs w:val="28"/>
        </w:rPr>
        <w:t xml:space="preserve">на территории </w:t>
      </w:r>
      <w:r>
        <w:rPr>
          <w:b/>
          <w:bCs/>
          <w:sz w:val="28"/>
          <w:szCs w:val="28"/>
        </w:rPr>
        <w:t xml:space="preserve">городского поселения «Букачачинское»</w:t>
      </w:r>
      <w:r>
        <w:rPr>
          <w:b/>
          <w:bCs/>
          <w:sz w:val="28"/>
          <w:szCs w:val="28"/>
        </w:rPr>
      </w:r>
    </w:p>
    <w:p>
      <w:pPr>
        <w:pStyle w:val="654"/>
        <w:pBdr/>
        <w:spacing w:after="0" w:afterAutospacing="0" w:before="0" w:beforeAutospacing="0"/>
        <w:ind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2025</w:t>
      </w:r>
      <w:r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</w:r>
    </w:p>
    <w:p>
      <w:pPr>
        <w:pStyle w:val="654"/>
        <w:pBdr/>
        <w:spacing w:after="0" w:afterAutospacing="0" w:before="0" w:beforeAutospacing="0"/>
        <w:ind/>
        <w:jc w:val="center"/>
        <w:rPr>
          <w:rStyle w:val="653"/>
        </w:rPr>
      </w:pPr>
      <w:r/>
      <w:r>
        <w:rPr>
          <w:rStyle w:val="653"/>
        </w:rPr>
      </w:r>
    </w:p>
    <w:p>
      <w:pPr>
        <w:pStyle w:val="654"/>
        <w:pBdr/>
        <w:spacing w:after="0" w:afterAutospacing="0" w:before="0" w:beforeAutospacing="0"/>
        <w:ind/>
        <w:jc w:val="center"/>
        <w:rPr>
          <w:sz w:val="28"/>
          <w:szCs w:val="28"/>
        </w:rPr>
      </w:pPr>
      <w:r>
        <w:rPr>
          <w:rStyle w:val="653"/>
          <w:sz w:val="28"/>
          <w:szCs w:val="28"/>
        </w:rPr>
        <w:t xml:space="preserve">Общие положения</w:t>
      </w:r>
      <w:r>
        <w:rPr>
          <w:sz w:val="28"/>
          <w:szCs w:val="28"/>
        </w:rPr>
      </w:r>
    </w:p>
    <w:p>
      <w:pPr>
        <w:pStyle w:val="654"/>
        <w:pBdr/>
        <w:spacing w:after="0" w:afterAutospacing="0" w:before="0" w:beforeAutospacing="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Программа профилактики нарушений обязательных требований</w:t>
      </w:r>
      <w:r>
        <w:rPr>
          <w:sz w:val="28"/>
          <w:szCs w:val="28"/>
          <w:lang w:bidi="ru-RU"/>
        </w:rPr>
        <w:t xml:space="preserve"> в сфере муниципал</w:t>
      </w:r>
      <w:r>
        <w:rPr>
          <w:sz w:val="28"/>
          <w:szCs w:val="28"/>
          <w:lang w:bidi="ru-RU"/>
        </w:rPr>
        <w:t xml:space="preserve">ьного земельного контроля в 2025</w:t>
      </w:r>
      <w:r>
        <w:rPr>
          <w:sz w:val="28"/>
          <w:szCs w:val="28"/>
          <w:lang w:bidi="ru-RU"/>
        </w:rPr>
        <w:t xml:space="preserve"> году </w:t>
      </w:r>
      <w:r>
        <w:rPr>
          <w:sz w:val="28"/>
          <w:szCs w:val="28"/>
          <w:lang w:bidi="ru-RU"/>
        </w:rPr>
        <w:t xml:space="preserve">разработана в соответствии с Земельным кодексом Российской Федерации, Федеральным законом от 24.07.2002 г. </w:t>
      </w:r>
      <w:r>
        <w:rPr>
          <w:sz w:val="28"/>
          <w:szCs w:val="28"/>
          <w:lang w:bidi="en-US"/>
        </w:rPr>
        <w:t xml:space="preserve">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bidi="ru-RU"/>
        </w:rPr>
        <w:t xml:space="preserve">101-ФЗ "Об обороте земель сельскохозяйственного назначения", Федеральным законом от 06.10.2003 г. </w:t>
      </w:r>
      <w:r>
        <w:rPr>
          <w:sz w:val="28"/>
          <w:szCs w:val="28"/>
          <w:lang w:bidi="en-US"/>
        </w:rPr>
        <w:t xml:space="preserve">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bidi="ru-RU"/>
        </w:rPr>
        <w:t xml:space="preserve">131-ФЭ "Об общих принципах организации местного самоуправления в Российской Федерации"</w:t>
      </w:r>
      <w:r>
        <w:rPr>
          <w:sz w:val="28"/>
          <w:szCs w:val="28"/>
          <w:lang w:bidi="ru-RU"/>
        </w:rPr>
        <w:t xml:space="preserve">, решением Совета </w:t>
      </w:r>
      <w:r>
        <w:rPr>
          <w:sz w:val="28"/>
          <w:szCs w:val="28"/>
          <w:lang w:bidi="ru-RU"/>
        </w:rPr>
        <w:t xml:space="preserve">городского поселения «Букачачинское»</w:t>
      </w:r>
      <w:r>
        <w:rPr>
          <w:sz w:val="28"/>
          <w:szCs w:val="28"/>
          <w:lang w:bidi="ru-RU"/>
        </w:rPr>
        <w:t xml:space="preserve"> от 20</w:t>
      </w:r>
      <w:r>
        <w:rPr>
          <w:sz w:val="28"/>
          <w:szCs w:val="28"/>
          <w:lang w:bidi="ru-RU"/>
        </w:rPr>
        <w:t xml:space="preserve">.12.2021 г. № </w:t>
      </w:r>
      <w:r>
        <w:rPr>
          <w:sz w:val="28"/>
          <w:szCs w:val="28"/>
          <w:lang w:bidi="ru-RU"/>
        </w:rPr>
        <w:t xml:space="preserve">31</w:t>
      </w:r>
      <w:r>
        <w:rPr>
          <w:sz w:val="28"/>
          <w:szCs w:val="28"/>
          <w:lang w:bidi="ru-RU"/>
        </w:rPr>
        <w:t xml:space="preserve"> «Об утверждении Положения о муниципальном земельном контроле на территории </w:t>
      </w:r>
      <w:r>
        <w:rPr>
          <w:sz w:val="28"/>
          <w:szCs w:val="28"/>
          <w:lang w:bidi="ru-RU"/>
        </w:rPr>
        <w:t xml:space="preserve">городского поселения «Букачачинское»</w:t>
      </w:r>
      <w:r>
        <w:rPr>
          <w:sz w:val="28"/>
          <w:szCs w:val="28"/>
          <w:lang w:bidi="ru-RU"/>
        </w:rPr>
        <w:t xml:space="preserve">.</w:t>
      </w:r>
      <w:r>
        <w:rPr>
          <w:sz w:val="28"/>
          <w:szCs w:val="28"/>
          <w:lang w:bidi="ru-RU"/>
        </w:rPr>
      </w:r>
    </w:p>
    <w:p>
      <w:pPr>
        <w:pStyle w:val="654"/>
        <w:pBdr/>
        <w:spacing w:after="0" w:afterAutospacing="0" w:before="0" w:beforeAutospacing="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Программа профилактики рисков причинения вреда (ущерба) охраняемым законом ценностям по муниципальному земельному контролю (далее – Программа профилактики</w:t>
      </w:r>
      <w:r>
        <w:rPr>
          <w:sz w:val="28"/>
          <w:szCs w:val="28"/>
          <w:lang w:bidi="ru-RU"/>
        </w:rPr>
        <w:t xml:space="preserve">) направлена на 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</w:t>
      </w:r>
      <w:r>
        <w:rPr>
          <w:sz w:val="28"/>
          <w:szCs w:val="28"/>
          <w:lang w:bidi="ru-RU"/>
        </w:rPr>
        <w:t xml:space="preserve">обязательных требований земельного законодательства и снижения рисков причинения вреда (ущерба) охраняемым законом ценностям, разъяснения подконтрольным субъектам обязательных требований земельного законодательства в отношении объектов земельных отношений.</w:t>
      </w:r>
      <w:r>
        <w:rPr>
          <w:sz w:val="28"/>
          <w:szCs w:val="28"/>
          <w:lang w:bidi="ru-RU"/>
        </w:rPr>
      </w:r>
    </w:p>
    <w:p>
      <w:pPr>
        <w:pStyle w:val="654"/>
        <w:pBdr/>
        <w:spacing w:after="0" w:afterAutospacing="0" w:before="0" w:beforeAutospacing="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pStyle w:val="654"/>
        <w:pBdr/>
        <w:spacing w:after="0" w:afterAutospacing="0" w:before="0" w:beforeAutospacing="0"/>
        <w:ind w:firstLine="709"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</w:r>
      <w:r>
        <w:rPr>
          <w:b/>
          <w:sz w:val="28"/>
          <w:szCs w:val="28"/>
          <w:lang w:bidi="ru-RU"/>
        </w:rPr>
      </w:r>
    </w:p>
    <w:p>
      <w:pPr>
        <w:pStyle w:val="654"/>
        <w:numPr>
          <w:ilvl w:val="0"/>
          <w:numId w:val="6"/>
        </w:numPr>
        <w:pBdr/>
        <w:spacing w:after="0" w:afterAutospacing="0" w:before="0" w:beforeAutospacing="0"/>
        <w:ind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r>
        <w:rPr>
          <w:b/>
          <w:sz w:val="28"/>
          <w:szCs w:val="28"/>
          <w:lang w:bidi="ru-RU"/>
        </w:rPr>
      </w:r>
    </w:p>
    <w:p>
      <w:pPr>
        <w:pStyle w:val="654"/>
        <w:pBdr/>
        <w:spacing w:after="0" w:afterAutospacing="0" w:before="0" w:beforeAutospacing="0"/>
        <w:ind w:left="1069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</w:r>
      <w:r>
        <w:rPr>
          <w:b/>
          <w:sz w:val="28"/>
          <w:szCs w:val="28"/>
          <w:lang w:bidi="ru-RU"/>
        </w:rPr>
      </w:r>
    </w:p>
    <w:p>
      <w:pPr>
        <w:pStyle w:val="654"/>
        <w:pBdr/>
        <w:spacing w:after="0" w:afterAutospacing="0"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земельный контроль осуществляется уполномоченным органом - </w:t>
      </w:r>
      <w:r>
        <w:rPr>
          <w:sz w:val="28"/>
          <w:szCs w:val="28"/>
          <w:lang w:bidi="ru-RU"/>
        </w:rPr>
        <w:t xml:space="preserve">администрацией</w:t>
      </w: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городского поселения «Букачачинское»</w:t>
      </w:r>
      <w:r>
        <w:rPr>
          <w:sz w:val="28"/>
          <w:szCs w:val="28"/>
          <w:lang w:bidi="ru-RU"/>
        </w:rPr>
        <w:t xml:space="preserve">.</w:t>
      </w:r>
      <w:r>
        <w:rPr>
          <w:sz w:val="28"/>
          <w:szCs w:val="28"/>
        </w:rPr>
      </w:r>
    </w:p>
    <w:p>
      <w:pPr>
        <w:pStyle w:val="654"/>
        <w:pBdr/>
        <w:spacing w:after="0" w:afterAutospacing="0" w:before="0" w:beforeAutospacing="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Предмет муниципального земельного контроля и его основные направления, а также объекты контроля определяются в соответствии с </w:t>
      </w:r>
      <w:r>
        <w:rPr>
          <w:sz w:val="28"/>
          <w:szCs w:val="28"/>
          <w:lang w:bidi="ru-RU"/>
        </w:rPr>
        <w:t xml:space="preserve">решением Совета </w:t>
      </w:r>
      <w:r>
        <w:rPr>
          <w:sz w:val="28"/>
          <w:szCs w:val="28"/>
          <w:lang w:bidi="ru-RU"/>
        </w:rPr>
        <w:t xml:space="preserve">городского поселения «Букачачинское»</w:t>
      </w:r>
      <w:r>
        <w:rPr>
          <w:sz w:val="28"/>
          <w:szCs w:val="28"/>
          <w:lang w:bidi="ru-RU"/>
        </w:rPr>
        <w:t xml:space="preserve"> от </w:t>
      </w:r>
      <w:r>
        <w:rPr>
          <w:sz w:val="28"/>
          <w:szCs w:val="28"/>
          <w:lang w:bidi="ru-RU"/>
        </w:rPr>
        <w:t xml:space="preserve">20</w:t>
      </w:r>
      <w:r>
        <w:rPr>
          <w:sz w:val="28"/>
          <w:szCs w:val="28"/>
          <w:lang w:bidi="ru-RU"/>
        </w:rPr>
        <w:t xml:space="preserve">.12.2021 г. № </w:t>
      </w:r>
      <w:r>
        <w:rPr>
          <w:sz w:val="28"/>
          <w:szCs w:val="28"/>
          <w:lang w:bidi="ru-RU"/>
        </w:rPr>
        <w:t xml:space="preserve">31</w:t>
      </w:r>
      <w:r>
        <w:rPr>
          <w:sz w:val="28"/>
          <w:szCs w:val="28"/>
          <w:lang w:bidi="ru-RU"/>
        </w:rPr>
        <w:t xml:space="preserve"> «Об утверждении Положения о муниципальном земельном контроле на территории </w:t>
      </w:r>
      <w:r>
        <w:rPr>
          <w:sz w:val="28"/>
          <w:szCs w:val="28"/>
          <w:lang w:bidi="ru-RU"/>
        </w:rPr>
        <w:t xml:space="preserve">городского поселения «Букачачинское»</w:t>
      </w:r>
      <w:r>
        <w:rPr>
          <w:sz w:val="28"/>
          <w:szCs w:val="28"/>
          <w:lang w:bidi="ru-RU"/>
        </w:rPr>
      </w:r>
    </w:p>
    <w:p>
      <w:pPr>
        <w:pStyle w:val="654"/>
        <w:pBdr/>
        <w:spacing w:after="0" w:afterAutospacing="0"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В 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</w:t>
      </w:r>
      <w:r>
        <w:rPr>
          <w:sz w:val="28"/>
          <w:szCs w:val="28"/>
        </w:rPr>
        <w:t xml:space="preserve">в отношении юридических лиц и индивидуальных предпринимателей  плановые и внеплановые проверки соблюдения земельного законодательства не проводились. </w:t>
      </w:r>
      <w:r>
        <w:rPr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состояния подконтрольных субъектов в сфере земельного законодательства выявил, что</w:t>
      </w:r>
      <w:r>
        <w:rPr>
          <w:rFonts w:ascii="Times New Roman" w:hAnsi="Times New Roman" w:cs="Times New Roman"/>
          <w:sz w:val="28"/>
          <w:szCs w:val="28"/>
        </w:rPr>
        <w:t xml:space="preserve">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</w:t>
      </w:r>
      <w:r>
        <w:rPr>
          <w:rFonts w:ascii="Times New Roman" w:hAnsi="Times New Roman" w:cs="Times New Roman"/>
          <w:sz w:val="28"/>
          <w:szCs w:val="28"/>
        </w:rPr>
        <w:t xml:space="preserve">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4"/>
        <w:pBdr/>
        <w:spacing w:after="0" w:afterAutospacing="0" w:before="0" w:beforeAutospacing="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pBdr/>
        <w:spacing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2. Цели и задачи реализации программы профилактики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4"/>
        <w:pBdr/>
        <w:spacing w:after="0" w:afterAutospacing="0" w:before="0" w:beforeAutospacing="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Программа реализуется в целях:</w:t>
      </w:r>
      <w:r>
        <w:rPr>
          <w:sz w:val="28"/>
          <w:szCs w:val="28"/>
          <w:lang w:bidi="ru-RU"/>
        </w:rPr>
      </w:r>
    </w:p>
    <w:p>
      <w:pPr>
        <w:pStyle w:val="654"/>
        <w:numPr>
          <w:ilvl w:val="0"/>
          <w:numId w:val="2"/>
        </w:numPr>
        <w:pBdr/>
        <w:spacing w:after="0" w:afterAutospacing="0" w:before="0" w:beforeAutospacing="0"/>
        <w:ind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обеспечения доступности информации об обязательных требованиях, установленных Федеральным законодательством, муниципальными правовыми актами;</w:t>
      </w:r>
      <w:r>
        <w:rPr>
          <w:sz w:val="28"/>
          <w:szCs w:val="28"/>
          <w:lang w:bidi="ru-RU"/>
        </w:rPr>
      </w:r>
    </w:p>
    <w:p>
      <w:pPr>
        <w:pStyle w:val="654"/>
        <w:numPr>
          <w:ilvl w:val="0"/>
          <w:numId w:val="2"/>
        </w:numPr>
        <w:pBdr/>
        <w:spacing w:after="0" w:afterAutospacing="0" w:before="0" w:beforeAutospacing="0"/>
        <w:ind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предупреждения нарушений субъектами, в отношении которых осуществляется муниципальный земельный контроль, обязательных требований;</w:t>
      </w:r>
      <w:r>
        <w:rPr>
          <w:sz w:val="28"/>
          <w:szCs w:val="28"/>
          <w:lang w:bidi="ru-RU"/>
        </w:rPr>
      </w:r>
    </w:p>
    <w:p>
      <w:pPr>
        <w:pStyle w:val="654"/>
        <w:numPr>
          <w:ilvl w:val="0"/>
          <w:numId w:val="2"/>
        </w:numPr>
        <w:pBdr/>
        <w:spacing w:after="0" w:afterAutospacing="0" w:before="0" w:beforeAutospacing="0"/>
        <w:ind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устранения причин, факторов и условий, способствующих нарушению субъектами, в отношении которых осуществляется муниципальный земельный контроль, обязательных требований;</w:t>
      </w:r>
      <w:r>
        <w:rPr>
          <w:sz w:val="28"/>
          <w:szCs w:val="28"/>
          <w:lang w:bidi="ru-RU"/>
        </w:rPr>
      </w:r>
    </w:p>
    <w:p>
      <w:pPr>
        <w:pStyle w:val="654"/>
        <w:numPr>
          <w:ilvl w:val="0"/>
          <w:numId w:val="2"/>
        </w:numPr>
        <w:pBdr/>
        <w:spacing w:after="0" w:afterAutospacing="0" w:before="0" w:beforeAutospacing="0"/>
        <w:ind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создание у подконтрольных субъектов мотивации к добросовестному поведению;</w:t>
      </w:r>
      <w:r>
        <w:rPr>
          <w:sz w:val="28"/>
          <w:szCs w:val="28"/>
          <w:lang w:bidi="ru-RU"/>
        </w:rPr>
      </w:r>
    </w:p>
    <w:p>
      <w:pPr>
        <w:pStyle w:val="654"/>
        <w:numPr>
          <w:ilvl w:val="0"/>
          <w:numId w:val="2"/>
        </w:numPr>
        <w:pBdr/>
        <w:spacing w:after="0" w:afterAutospacing="0" w:before="0" w:beforeAutospacing="0"/>
        <w:ind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снижение уровня ущерба, причиняемого охраняемым законом ценностям.</w:t>
      </w:r>
      <w:r>
        <w:rPr>
          <w:sz w:val="28"/>
          <w:szCs w:val="28"/>
          <w:lang w:bidi="ru-RU"/>
        </w:rPr>
      </w:r>
    </w:p>
    <w:p>
      <w:pPr>
        <w:pStyle w:val="654"/>
        <w:pBdr/>
        <w:spacing w:after="0" w:afterAutospacing="0" w:before="0" w:beforeAutospacing="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Для достижения целей Программы выполняются следующие задачи:</w:t>
      </w:r>
      <w:r>
        <w:rPr>
          <w:sz w:val="28"/>
          <w:szCs w:val="28"/>
          <w:lang w:bidi="ru-RU"/>
        </w:rPr>
      </w:r>
    </w:p>
    <w:p>
      <w:pPr>
        <w:pStyle w:val="654"/>
        <w:numPr>
          <w:ilvl w:val="0"/>
          <w:numId w:val="2"/>
        </w:numPr>
        <w:pBdr/>
        <w:spacing w:after="0" w:afterAutospacing="0" w:before="0" w:beforeAutospacing="0"/>
        <w:ind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осуществление</w:t>
      </w:r>
      <w:r>
        <w:rPr>
          <w:sz w:val="28"/>
          <w:szCs w:val="28"/>
          <w:lang w:bidi="ru-RU"/>
        </w:rPr>
        <w:tab/>
        <w:t xml:space="preserve">анализа</w:t>
      </w: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выявленных</w:t>
      </w: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 в</w:t>
      </w:r>
      <w:r>
        <w:rPr>
          <w:sz w:val="28"/>
          <w:szCs w:val="28"/>
          <w:lang w:bidi="ru-RU"/>
        </w:rPr>
        <w:tab/>
        <w:t xml:space="preserve">результате</w:t>
      </w:r>
      <w:r>
        <w:rPr>
          <w:sz w:val="28"/>
          <w:szCs w:val="28"/>
          <w:lang w:bidi="ru-RU"/>
        </w:rPr>
        <w:tab/>
        <w:t xml:space="preserve">проведения</w:t>
      </w: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муниципального земельного контроля нарушений субъектами, в отношении которых осуществляется муниципальный земельный контроль, обязательных требований;</w:t>
      </w:r>
      <w:r>
        <w:rPr>
          <w:sz w:val="28"/>
          <w:szCs w:val="28"/>
          <w:lang w:bidi="ru-RU"/>
        </w:rPr>
      </w:r>
    </w:p>
    <w:p>
      <w:pPr>
        <w:pStyle w:val="654"/>
        <w:numPr>
          <w:ilvl w:val="0"/>
          <w:numId w:val="2"/>
        </w:numPr>
        <w:pBdr/>
        <w:spacing w:after="0" w:afterAutospacing="0" w:before="0" w:beforeAutospacing="0"/>
        <w:ind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выявление и устранение причин, факторов и условий, способствующих нарушениям субъектами, в отношении которых осуществляется муниципальный земельный контроль, обязательных требований;</w:t>
      </w:r>
      <w:r>
        <w:rPr>
          <w:sz w:val="28"/>
          <w:szCs w:val="28"/>
          <w:lang w:bidi="ru-RU"/>
        </w:rPr>
      </w:r>
    </w:p>
    <w:p>
      <w:pPr>
        <w:pStyle w:val="654"/>
        <w:numPr>
          <w:ilvl w:val="0"/>
          <w:numId w:val="2"/>
        </w:numPr>
        <w:pBdr/>
        <w:spacing w:after="0" w:afterAutospacing="0" w:before="0" w:beforeAutospacing="0"/>
        <w:ind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информирование</w:t>
      </w:r>
      <w:r>
        <w:rPr>
          <w:sz w:val="28"/>
          <w:szCs w:val="28"/>
          <w:lang w:bidi="ru-RU"/>
        </w:rPr>
        <w:tab/>
        <w:t xml:space="preserve">субъектов, в отношении</w:t>
      </w:r>
      <w:r>
        <w:rPr>
          <w:sz w:val="28"/>
          <w:szCs w:val="28"/>
          <w:lang w:bidi="ru-RU"/>
        </w:rPr>
        <w:tab/>
        <w:t xml:space="preserve">которых осуществляется</w:t>
      </w: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муниципальный земельный контроль, о соблюдении обязательных </w:t>
      </w:r>
      <w:r>
        <w:rPr>
          <w:sz w:val="28"/>
          <w:szCs w:val="28"/>
          <w:lang w:bidi="ru-RU"/>
        </w:rPr>
        <w:t xml:space="preserve">т</w:t>
      </w:r>
      <w:r>
        <w:rPr>
          <w:sz w:val="28"/>
          <w:szCs w:val="28"/>
          <w:lang w:bidi="ru-RU"/>
        </w:rPr>
        <w:t xml:space="preserve">ребований;</w:t>
      </w:r>
      <w:r>
        <w:rPr>
          <w:sz w:val="28"/>
          <w:szCs w:val="28"/>
          <w:lang w:bidi="ru-RU"/>
        </w:rPr>
      </w:r>
    </w:p>
    <w:p>
      <w:pPr>
        <w:pStyle w:val="654"/>
        <w:numPr>
          <w:ilvl w:val="0"/>
          <w:numId w:val="2"/>
        </w:numPr>
        <w:pBdr/>
        <w:spacing w:after="0" w:afterAutospacing="0" w:before="0" w:beforeAutospacing="0"/>
        <w:ind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принятие мер</w:t>
      </w:r>
      <w:r>
        <w:rPr>
          <w:sz w:val="28"/>
          <w:szCs w:val="28"/>
          <w:lang w:bidi="ru-RU"/>
        </w:rPr>
        <w:tab/>
      </w: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по устранению причин,</w:t>
      </w:r>
      <w:r>
        <w:rPr>
          <w:sz w:val="28"/>
          <w:szCs w:val="28"/>
          <w:lang w:bidi="ru-RU"/>
        </w:rPr>
        <w:tab/>
        <w:t xml:space="preserve">факторов</w:t>
      </w:r>
      <w:r>
        <w:rPr>
          <w:sz w:val="28"/>
          <w:szCs w:val="28"/>
          <w:lang w:bidi="ru-RU"/>
        </w:rPr>
        <w:tab/>
        <w:t xml:space="preserve">и условий,</w:t>
      </w: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способствующих нарушению субъектами, в отношении которых осуществляется муниципальный земельный ко</w:t>
      </w:r>
      <w:r>
        <w:rPr>
          <w:sz w:val="28"/>
          <w:szCs w:val="28"/>
          <w:lang w:bidi="ru-RU"/>
        </w:rPr>
        <w:t xml:space="preserve">нтроль, обязательных требований;</w:t>
      </w:r>
      <w:r>
        <w:rPr>
          <w:sz w:val="28"/>
          <w:szCs w:val="28"/>
          <w:lang w:bidi="ru-RU"/>
        </w:rPr>
      </w:r>
    </w:p>
    <w:p>
      <w:pPr>
        <w:pStyle w:val="654"/>
        <w:pBdr/>
        <w:spacing w:after="0" w:afterAutospacing="0" w:before="0" w:beforeAutospacing="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повышение уровня информированности</w:t>
      </w:r>
      <w:r>
        <w:rPr>
          <w:sz w:val="28"/>
          <w:szCs w:val="28"/>
          <w:lang w:bidi="ru-RU"/>
        </w:rPr>
        <w:t xml:space="preserve"> субъектов, в отношении которых </w:t>
      </w:r>
      <w:r>
        <w:rPr>
          <w:sz w:val="28"/>
          <w:szCs w:val="28"/>
          <w:lang w:bidi="ru-RU"/>
        </w:rPr>
        <w:t xml:space="preserve">осуществляется</w:t>
      </w:r>
      <w:r>
        <w:rPr>
          <w:sz w:val="28"/>
          <w:szCs w:val="28"/>
          <w:lang w:bidi="ru-RU"/>
        </w:rPr>
        <w:tab/>
        <w:t xml:space="preserve">муниципальный</w:t>
      </w: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 земельный </w:t>
      </w: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контроль</w:t>
      </w:r>
      <w:r>
        <w:rPr>
          <w:sz w:val="28"/>
          <w:szCs w:val="28"/>
          <w:lang w:bidi="ru-RU"/>
        </w:rPr>
        <w:tab/>
        <w:t xml:space="preserve">в области</w:t>
      </w: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земельного законодательства.</w:t>
      </w:r>
      <w:r>
        <w:rPr>
          <w:sz w:val="28"/>
          <w:szCs w:val="28"/>
          <w:lang w:bidi="ru-RU"/>
        </w:rPr>
      </w:r>
    </w:p>
    <w:p>
      <w:pPr>
        <w:pStyle w:val="654"/>
        <w:pBdr/>
        <w:spacing w:after="0" w:afterAutospacing="0" w:before="0" w:beforeAutospacing="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</w:r>
      <w:r>
        <w:rPr>
          <w:sz w:val="28"/>
          <w:szCs w:val="28"/>
          <w:lang w:bidi="ru-RU"/>
        </w:rPr>
      </w:r>
    </w:p>
    <w:p>
      <w:pPr>
        <w:pStyle w:val="652"/>
        <w:numPr>
          <w:ilvl w:val="0"/>
          <w:numId w:val="8"/>
        </w:numPr>
        <w:pBdr/>
        <w:spacing/>
        <w:ind/>
        <w:jc w:val="center"/>
        <w:rPr>
          <w:b/>
        </w:rPr>
      </w:pPr>
      <w:r>
        <w:rPr>
          <w:b/>
        </w:rPr>
        <w:t xml:space="preserve">Перечень профилактических мероприятий, </w:t>
      </w:r>
      <w:r>
        <w:rPr>
          <w:b/>
        </w:rPr>
      </w:r>
    </w:p>
    <w:p>
      <w:pPr>
        <w:pStyle w:val="652"/>
        <w:pBdr/>
        <w:spacing/>
        <w:ind w:left="1069"/>
        <w:jc w:val="center"/>
        <w:rPr>
          <w:b/>
        </w:rPr>
      </w:pPr>
      <w:r>
        <w:rPr>
          <w:b/>
        </w:rPr>
        <w:t xml:space="preserve">сроки</w:t>
      </w:r>
      <w:r>
        <w:rPr>
          <w:b/>
        </w:rPr>
        <w:t xml:space="preserve"> </w:t>
      </w:r>
      <w:r>
        <w:rPr>
          <w:b/>
        </w:rPr>
        <w:t xml:space="preserve">(периодичность) их проведения</w:t>
      </w:r>
      <w:bookmarkStart w:id="2" w:name="P29"/>
      <w:r/>
      <w:bookmarkEnd w:id="2"/>
      <w:r/>
      <w:r>
        <w:rPr>
          <w:b/>
        </w:rPr>
      </w:r>
    </w:p>
    <w:p>
      <w:pPr>
        <w:pStyle w:val="652"/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8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1276"/>
        <w:gridCol w:w="2778"/>
      </w:tblGrid>
      <w:tr>
        <w:trPr/>
        <w:tc>
          <w:tcPr>
            <w:shd w:val="clear" w:color="auto" w:fill="auto"/>
            <w:tcBorders/>
            <w:tcW w:w="534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5244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мероприятий по профилактике нарушений обязательных требований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276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исполнения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2778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/>
            <w:tcW w:w="534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524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Информирование контролируемых и иных лиц заинтересованных лиц по вопросам соблюдения обязательных требований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r>
          </w:p>
          <w:p>
            <w:pPr>
              <w:pStyle w:val="660"/>
              <w:pBdr/>
              <w:tabs>
                <w:tab w:val="left" w:leader="none" w:pos="1134"/>
              </w:tabs>
              <w:spacing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hhtp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bukachacha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0"/>
              <w:pBdr/>
              <w:tabs>
                <w:tab w:val="left" w:leader="none" w:pos="1134"/>
              </w:tabs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орган размещает и поддерживает в актуальном состоянии на своем официальном сайте в сети «Интернет» сведения, определенные пунктами 1 - 16 части 3 статьи 46 Федерального закона № 248-ФЗ: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0"/>
              <w:pBdr/>
              <w:tabs>
                <w:tab w:val="left" w:leader="none" w:pos="1134"/>
              </w:tabs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тексты нормативных правовых актов, регулирующих осуществление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контроля;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0"/>
              <w:pBdr/>
              <w:tabs>
                <w:tab w:val="left" w:leader="none" w:pos="1134"/>
              </w:tabs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0"/>
              <w:pBdr/>
              <w:tabs>
                <w:tab w:val="left" w:leader="none" w:pos="1134"/>
              </w:tabs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перечень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 актов с указа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0"/>
              <w:pBdr/>
              <w:tabs>
                <w:tab w:val="left" w:leader="none" w:pos="1134"/>
              </w:tabs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утвержденные проверочные листы в формате, допускающем их использование для самообследования;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0"/>
              <w:pBdr/>
              <w:tabs>
                <w:tab w:val="left" w:leader="none" w:pos="1134"/>
              </w:tabs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руководства по соблюдению обязательных требований, разработанные и утвержденные в соответствии с Федеральным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законом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"Об обязательных требованиях в Российской Федерации";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0"/>
              <w:pBdr/>
              <w:tabs>
                <w:tab w:val="left" w:leader="none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перечень индикаторов риска нарушения обязательных требований, порядок отнесения объектов контроля к категориям риска;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2"/>
              <w:pBdr/>
              <w:spacing/>
              <w:ind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  <w:r>
              <w:rPr>
                <w:rFonts w:cs="Times New Roman"/>
              </w:rPr>
            </w:r>
          </w:p>
          <w:p>
            <w:pPr>
              <w:pStyle w:val="652"/>
              <w:pBdr/>
              <w:spacing/>
              <w:ind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  <w:r>
              <w:rPr>
                <w:rFonts w:cs="Times New Roman"/>
              </w:rPr>
            </w:r>
          </w:p>
          <w:p>
            <w:pPr>
              <w:pStyle w:val="652"/>
              <w:pBdr/>
              <w:spacing/>
              <w:ind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9) исчерпывающий перечень сведений, которые могут запрашиваться контрольным (надзорным) органом у контролируемого лица;</w:t>
            </w:r>
            <w:r>
              <w:rPr>
                <w:rFonts w:cs="Times New Roman"/>
              </w:rPr>
            </w:r>
          </w:p>
          <w:p>
            <w:pPr>
              <w:pStyle w:val="652"/>
              <w:pBdr/>
              <w:spacing/>
              <w:ind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10) сведения о способах получения консультаций по вопросам соблюдения обязательных требований;</w:t>
            </w:r>
            <w:r>
              <w:rPr>
                <w:rFonts w:cs="Times New Roman"/>
              </w:rPr>
            </w:r>
          </w:p>
          <w:p>
            <w:pPr>
              <w:pStyle w:val="652"/>
              <w:pBdr/>
              <w:spacing/>
              <w:ind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11) сведения о применении контрольным (надзорным) органом мер стимулирования добросовестности контролируемых лиц;</w:t>
            </w:r>
            <w:r>
              <w:rPr>
                <w:rFonts w:cs="Times New Roman"/>
              </w:rPr>
            </w:r>
          </w:p>
          <w:p>
            <w:pPr>
              <w:pStyle w:val="652"/>
              <w:pBdr/>
              <w:spacing/>
              <w:ind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12) сведения о порядке досудебного обжалования решений контрольного (надзорного) органа, действий (бездействия) его должностных лиц;</w:t>
            </w:r>
            <w:r>
              <w:rPr>
                <w:rFonts w:cs="Times New Roman"/>
              </w:rPr>
            </w:r>
          </w:p>
          <w:p>
            <w:pPr>
              <w:pStyle w:val="652"/>
              <w:pBdr/>
              <w:spacing/>
              <w:ind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13) доклады, содержащие результаты обобщения правоприменительной практики контрольного (надзорного) органа;</w:t>
            </w:r>
            <w:r>
              <w:rPr>
                <w:rFonts w:cs="Times New Roman"/>
              </w:rPr>
            </w:r>
          </w:p>
          <w:p>
            <w:pPr>
              <w:pStyle w:val="652"/>
              <w:pBdr/>
              <w:spacing/>
              <w:ind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14) доклады о муниципальном контроле;</w:t>
            </w:r>
            <w:r>
              <w:rPr>
                <w:rFonts w:cs="Times New Roman"/>
              </w:rPr>
            </w:r>
          </w:p>
          <w:p>
            <w:pPr>
              <w:pStyle w:val="652"/>
              <w:pBdr/>
              <w:spacing/>
              <w:ind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15) информацию о способах и процедуре </w:t>
            </w:r>
            <w:r>
              <w:rPr>
                <w:rFonts w:cs="Times New Roman"/>
              </w:rPr>
              <w:t xml:space="preserve">самообследования</w:t>
            </w:r>
            <w:r>
              <w:rPr>
                <w:rFonts w:cs="Times New Roman"/>
              </w:rPr>
              <w:t xml:space="preserve"> (при ее наличии), в том числе методические рекомендации по проведению </w:t>
            </w:r>
            <w:r>
              <w:rPr>
                <w:rFonts w:cs="Times New Roman"/>
              </w:rPr>
              <w:t xml:space="preserve">самообследования</w:t>
            </w:r>
            <w:r>
              <w:rPr>
                <w:rFonts w:cs="Times New Roman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  <w:r>
              <w:rPr>
                <w:rFonts w:cs="Times New Roman"/>
              </w:rPr>
            </w:r>
          </w:p>
          <w:p>
            <w:pPr>
              <w:pStyle w:val="652"/>
              <w:pBdr/>
              <w:spacing/>
              <w:ind/>
              <w:rPr>
                <w:rFonts w:cs="Times New Roman"/>
              </w:rPr>
            </w:pPr>
            <w:r>
              <w:rPr>
                <w:rFonts w:cs="Times New Roman"/>
                <w:bCs/>
              </w:rPr>
              <w:t xml:space="preserve"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r>
              <w:rPr>
                <w:rFonts w:cs="Times New Roman"/>
              </w:rPr>
            </w:r>
          </w:p>
        </w:tc>
        <w:tc>
          <w:tcPr>
            <w:shd w:val="clear" w:color="auto" w:fill="auto"/>
            <w:tcBorders/>
            <w:tcW w:w="1276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277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администраци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я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городского поселения «Букачачинское»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/>
            <w:tcW w:w="534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524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Предостережение о недопустимости нарушения обязательных требований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0"/>
              <w:pBdr/>
              <w:tabs>
                <w:tab w:val="left" w:leader="none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орган объявляет контролируемому лицу предостережение о недопустимости нарушения обязательных треб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0"/>
              <w:pBdr/>
              <w:tabs>
                <w:tab w:val="left" w:leader="none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2"/>
              <w:pBdr/>
              <w:spacing/>
              <w:ind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      </w:r>
            <w:r>
              <w:rPr>
                <w:rFonts w:cs="Times New Roman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Возражение должно содержать: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наименование Контрольного органа, в который направляется возражение;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контактного телефона, адрес (адреса) электронной почты (при наличии) и почтовый адрес, по которым должен быть направлен ответ контролируемому лицу, идентификационный номер налогоплательщика – юридического лица, индивидуального предпринимателя, гражданина;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дату и номер предостережения;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доводы, на основании которых контролируемое лицо не согласно с объявленным предостережением;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дату получения предостережения контролируемым лицом;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личную подпись и дату.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2"/>
              <w:pBdr/>
              <w:spacing/>
              <w:ind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Контрольный орган рассматривает возражение в отношении предостережения в течение пятнадцати рабочих дней со дня его получения.</w:t>
            </w:r>
            <w:r>
              <w:rPr>
                <w:rFonts w:cs="Times New Roman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рассмотрения возражения Контрольный орган принимает одно из следующих решений: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 в случае принятия доводов аннулирует направленное предостережение с внесением информации в журнал учета выдачи предостережений;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 в случае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принятия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доводов отказывает в удовлетворении возражения с указанием причины отказа.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Повторное направление возражения по тем же основаниям не допускается.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1276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277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А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дминистраци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я 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городского поселения «Букачачинское»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/>
            <w:tcW w:w="534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524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Консультирование: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r>
          </w:p>
          <w:p>
            <w:pPr>
              <w:pStyle w:val="652"/>
              <w:pBdr/>
              <w:spacing/>
              <w:ind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  <w:r>
              <w:rPr>
                <w:rFonts w:cs="Times New Roman"/>
              </w:rPr>
            </w:r>
          </w:p>
          <w:p>
            <w:pPr>
              <w:pStyle w:val="652"/>
              <w:pBdr/>
              <w:tabs>
                <w:tab w:val="left" w:leader="none" w:pos="1134"/>
              </w:tabs>
              <w:spacing/>
              <w:ind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1) порядка проведения контрольных мероприятий;</w:t>
            </w:r>
            <w:r>
              <w:rPr>
                <w:rFonts w:cs="Times New Roman"/>
              </w:rPr>
            </w:r>
          </w:p>
          <w:p>
            <w:pPr>
              <w:pStyle w:val="652"/>
              <w:pBdr/>
              <w:tabs>
                <w:tab w:val="left" w:leader="none" w:pos="1134"/>
              </w:tabs>
              <w:spacing/>
              <w:ind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2)периодичности проведения контрольных мероприятий;</w:t>
            </w:r>
            <w:r>
              <w:rPr>
                <w:rFonts w:cs="Times New Roman"/>
              </w:rPr>
            </w:r>
          </w:p>
          <w:p>
            <w:pPr>
              <w:pStyle w:val="652"/>
              <w:pBdr/>
              <w:tabs>
                <w:tab w:val="left" w:leader="none" w:pos="1134"/>
              </w:tabs>
              <w:spacing/>
              <w:ind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3)порядка принятия решений по итогам контрольных мероприятий;</w:t>
            </w:r>
            <w:r>
              <w:rPr>
                <w:rFonts w:cs="Times New Roman"/>
              </w:rPr>
            </w:r>
          </w:p>
          <w:p>
            <w:pPr>
              <w:pStyle w:val="652"/>
              <w:pBdr/>
              <w:tabs>
                <w:tab w:val="left" w:leader="none" w:pos="1134"/>
              </w:tabs>
              <w:spacing/>
              <w:ind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4)порядка обжалования решений Контрольного органа.</w:t>
            </w:r>
            <w:r>
              <w:rPr>
                <w:rFonts w:cs="Times New Roman"/>
              </w:rPr>
            </w:r>
          </w:p>
          <w:p>
            <w:pPr>
              <w:pStyle w:val="660"/>
              <w:pBdr/>
              <w:tabs>
                <w:tab w:val="left" w:leader="none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Инспекторы осуществляют консультирование контролируемых лиц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представителей: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2"/>
              <w:pBdr/>
              <w:spacing/>
              <w:ind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1)в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  <w:r>
              <w:rPr>
                <w:rFonts w:cs="Times New Roman"/>
              </w:rPr>
            </w:r>
          </w:p>
          <w:p>
            <w:pPr>
              <w:pStyle w:val="652"/>
              <w:pBdr/>
              <w:spacing/>
              <w:ind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2)посредством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  <w:r>
              <w:rPr>
                <w:rFonts w:cs="Times New Roman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консультирование на личном приеме каждого заявителя инспекторами не может превышать 10 минут.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Время разговора по телефону не должно превышать 10 минут.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52"/>
              <w:pBdr/>
              <w:spacing/>
              <w:ind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  3)</w:t>
            </w:r>
            <w:r>
              <w:rPr>
                <w:rFonts w:cs="Times New Roman"/>
              </w:rPr>
              <w:t xml:space="preserve"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  <w:r>
              <w:rPr>
                <w:rFonts w:cs="Times New Roman"/>
              </w:rPr>
            </w:r>
          </w:p>
          <w:p>
            <w:pPr>
              <w:pStyle w:val="652"/>
              <w:pBdr/>
              <w:spacing/>
              <w:ind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4)Письменное консультирование контролируемых лиц и их представителей осуществляется по следующим вопросам:</w:t>
            </w:r>
            <w:r>
              <w:rPr>
                <w:rFonts w:cs="Times New Roman"/>
              </w:rPr>
            </w:r>
          </w:p>
          <w:p>
            <w:pPr>
              <w:pStyle w:val="652"/>
              <w:pBdr/>
              <w:spacing/>
              <w:ind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порядок обжалования решений контрольного органа;</w:t>
            </w:r>
            <w:r>
              <w:rPr>
                <w:rFonts w:cs="Times New Roman"/>
              </w:rPr>
            </w:r>
          </w:p>
          <w:p>
            <w:pPr>
              <w:pStyle w:val="652"/>
              <w:pBdr/>
              <w:spacing/>
              <w:ind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-порядка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      </w:r>
            <w:r>
              <w:rPr>
                <w:rFonts w:cs="Times New Roman"/>
              </w:rPr>
            </w:r>
          </w:p>
          <w:p>
            <w:pPr>
              <w:pStyle w:val="652"/>
              <w:pBdr/>
              <w:spacing/>
              <w:ind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-порядка проведения контрольных мероприятий;</w:t>
            </w:r>
            <w:r>
              <w:rPr>
                <w:rFonts w:cs="Times New Roman"/>
              </w:rPr>
            </w:r>
          </w:p>
          <w:p>
            <w:pPr>
              <w:pStyle w:val="652"/>
              <w:pBdr/>
              <w:spacing/>
              <w:ind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-периодичности проведения контрольных мероприятий;</w:t>
            </w:r>
            <w:r>
              <w:rPr>
                <w:rFonts w:cs="Times New Roman"/>
              </w:rPr>
            </w:r>
          </w:p>
          <w:p>
            <w:pPr>
              <w:pStyle w:val="652"/>
              <w:pBdr/>
              <w:spacing/>
              <w:ind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-порядка принятия решений по итогам контрольных мероприятий.</w:t>
            </w:r>
            <w:r>
              <w:rPr>
                <w:rFonts w:cs="Times New Roman"/>
              </w:rPr>
            </w:r>
          </w:p>
          <w:p>
            <w:pPr>
              <w:pStyle w:val="652"/>
              <w:pBdr/>
              <w:spacing/>
              <w:ind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 5)</w:t>
            </w:r>
            <w:r>
              <w:rPr>
                <w:rFonts w:cs="Times New Roman"/>
              </w:rPr>
              <w:t xml:space="preserve">Контролируемое лицо вправе направить запрос о предоставлении </w:t>
            </w:r>
            <w:r>
              <w:rPr>
                <w:rFonts w:cs="Times New Roman"/>
              </w:rPr>
              <w:t xml:space="preserve">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  <w:r>
              <w:rPr>
                <w:rFonts w:cs="Times New Roman"/>
              </w:rPr>
            </w:r>
          </w:p>
          <w:p>
            <w:pPr>
              <w:pStyle w:val="652"/>
              <w:pBdr/>
              <w:spacing/>
              <w:ind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cs="Times New Roman"/>
              </w:rPr>
              <w:t xml:space="preserve">Контрольный орган осуществляет учет проведенных консультирований.</w:t>
            </w:r>
            <w:r>
              <w:rPr>
                <w:rFonts w:cs="Times New Roman"/>
              </w:rPr>
            </w:r>
          </w:p>
        </w:tc>
        <w:tc>
          <w:tcPr>
            <w:shd w:val="clear" w:color="auto" w:fill="auto"/>
            <w:tcBorders/>
            <w:tcW w:w="1276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277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администраци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я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городского поселения «Букачачинское»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/>
            <w:tcW w:w="534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5244" w:type="dxa"/>
            <w:textDirection w:val="lrTb"/>
            <w:noWrap w:val="false"/>
          </w:tcPr>
          <w:p>
            <w:pPr>
              <w:pStyle w:val="664"/>
              <w:pBdr/>
              <w:spacing/>
              <w:ind/>
              <w:jc w:val="center"/>
              <w:rPr>
                <w:szCs w:val="28"/>
              </w:rPr>
            </w:pPr>
            <w:r>
              <w:rPr>
                <w:b/>
                <w:iCs/>
                <w:szCs w:val="28"/>
              </w:rPr>
              <w:t xml:space="preserve">Профилактический визит:</w:t>
            </w:r>
            <w:r>
              <w:rPr>
                <w:szCs w:val="28"/>
              </w:rPr>
            </w:r>
          </w:p>
          <w:p>
            <w:pPr>
              <w:pStyle w:val="664"/>
              <w:pBdr/>
              <w:spacing/>
              <w:ind/>
              <w:rPr>
                <w:szCs w:val="28"/>
              </w:rPr>
            </w:pPr>
            <w:r>
              <w:rPr>
                <w:szCs w:val="28"/>
              </w:rPr>
              <w:t xml:space="preserve">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  <w:r>
              <w:rPr>
                <w:szCs w:val="28"/>
              </w:rPr>
            </w:r>
          </w:p>
          <w:p>
            <w:pPr>
              <w:pStyle w:val="664"/>
              <w:pBdr/>
              <w:spacing/>
              <w:ind/>
              <w:rPr>
                <w:szCs w:val="28"/>
              </w:rPr>
            </w:pPr>
            <w:r>
              <w:rPr>
                <w:szCs w:val="28"/>
              </w:rPr>
              <w:t xml:space="preserve"> В ходе профилактического визита инспектором осуществляются консультирование контролируемого лица, а также сбор сведений, необходимых для отнесения объектов контроля к категориям риска.</w:t>
            </w:r>
            <w:r>
              <w:rPr>
                <w:szCs w:val="28"/>
              </w:rPr>
            </w:r>
          </w:p>
          <w:p>
            <w:pPr>
              <w:pStyle w:val="664"/>
              <w:pBdr/>
              <w:spacing/>
              <w:ind/>
              <w:rPr>
                <w:szCs w:val="28"/>
              </w:rPr>
            </w:pPr>
            <w:r>
              <w:rPr>
                <w:szCs w:val="28"/>
              </w:rPr>
              <w:t xml:space="preserve"> Срок осуществления обязательного профилактического визита составляет один рабочий день.</w:t>
            </w:r>
            <w:r>
              <w:rPr>
                <w:szCs w:val="28"/>
              </w:rPr>
            </w:r>
          </w:p>
          <w:p>
            <w:pPr>
              <w:pStyle w:val="664"/>
              <w:pBdr/>
              <w:spacing/>
              <w:ind/>
              <w:rPr>
                <w:szCs w:val="28"/>
              </w:rPr>
            </w:pPr>
            <w:r>
              <w:rPr>
                <w:szCs w:val="28"/>
              </w:rPr>
              <w:t xml:space="preserve"> В случае если при проведении профилактических мероприятий установлено, что объекты контр</w:t>
            </w:r>
            <w:r>
              <w:rPr>
                <w:szCs w:val="28"/>
              </w:rPr>
              <w:t xml:space="preserve">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муниципальный земельный контроль, незамедлительно направляет информацию об </w:t>
            </w:r>
            <w:r>
              <w:rPr>
                <w:szCs w:val="28"/>
              </w:rPr>
              <w:t xml:space="preserve">этом  Главе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городского поселения «Букачачинское»</w:t>
            </w:r>
            <w:r>
              <w:rPr>
                <w:szCs w:val="28"/>
              </w:rPr>
              <w:t xml:space="preserve"> для принятия решения о проведении контрольных мероприятий.</w:t>
            </w:r>
            <w:r>
              <w:rPr>
                <w:szCs w:val="28"/>
              </w:rPr>
            </w:r>
          </w:p>
          <w:p>
            <w:pPr>
              <w:pStyle w:val="664"/>
              <w:pBdr/>
              <w:spacing/>
              <w:ind/>
              <w:rPr>
                <w:szCs w:val="28"/>
              </w:rPr>
            </w:pPr>
            <w:r>
              <w:rPr>
                <w:szCs w:val="28"/>
              </w:rPr>
              <w:t xml:space="preserve"> В сл</w:t>
            </w:r>
            <w:r>
              <w:rPr>
                <w:szCs w:val="28"/>
              </w:rPr>
              <w:t xml:space="preserve">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</w:t>
            </w:r>
            <w:r>
              <w:rPr>
                <w:szCs w:val="28"/>
              </w:rPr>
              <w:t xml:space="preserve">информацию об этом начальнику  уполномоченного органа.</w:t>
            </w:r>
            <w:r>
              <w:rPr>
                <w:szCs w:val="28"/>
              </w:rPr>
            </w:r>
          </w:p>
        </w:tc>
        <w:tc>
          <w:tcPr>
            <w:shd w:val="clear" w:color="auto" w:fill="auto"/>
            <w:tcBorders/>
            <w:tcW w:w="1276" w:type="dxa"/>
            <w:textDirection w:val="lrTb"/>
            <w:noWrap w:val="false"/>
          </w:tcPr>
          <w:p>
            <w:pPr>
              <w:pStyle w:val="655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277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администраци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я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8"/>
                <w:szCs w:val="28"/>
                <w:lang w:eastAsia="en-US"/>
              </w:rPr>
              <w:t xml:space="preserve">городского поселения «Букачачинское»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55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Цели и задачи Программы осуществляются посредством реализации мероприятий, предусмотренных Планом мероприятий по профилактике нарушений на 202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3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год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</w:r>
    </w:p>
    <w:p>
      <w:pPr>
        <w:pBdr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</w:r>
      <w:r>
        <w:rPr>
          <w:rFonts w:ascii="Times New Roman" w:hAnsi="Times New Roman" w:cs="Times New Roman"/>
          <w:sz w:val="28"/>
          <w:szCs w:val="28"/>
          <w:lang w:bidi="ru-RU"/>
        </w:rPr>
      </w:r>
    </w:p>
    <w:p>
      <w:pPr>
        <w:pStyle w:val="660"/>
        <w:numPr>
          <w:ilvl w:val="0"/>
          <w:numId w:val="8"/>
        </w:num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результативности и эффективности программы профилактики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</w:r>
    </w:p>
    <w:p>
      <w:pPr>
        <w:pStyle w:val="660"/>
        <w:pBdr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</w:r>
      <w:r>
        <w:rPr>
          <w:rFonts w:ascii="Times New Roman" w:hAnsi="Times New Roman" w:cs="Times New Roman"/>
          <w:b/>
          <w:sz w:val="28"/>
          <w:szCs w:val="28"/>
          <w:lang w:bidi="ru-RU"/>
        </w:rPr>
      </w:r>
    </w:p>
    <w:tbl>
      <w:tblPr>
        <w:tblW w:w="0" w:type="auto"/>
        <w:tblInd w:w="-10" w:type="dxa"/>
        <w:tblBorders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72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Величина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23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контролируемых лиц и их представителями консультированием контрольного  органа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2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100 % от числа обратившихся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widowControl w:val="false"/>
        <w:pBdr/>
        <w:spacing w:after="0" w:line="240" w:lineRule="auto"/>
        <w:ind/>
        <w:jc w:val="center"/>
        <w:outlineLvl w:val="1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widowControl w:val="false"/>
        <w:pBdr/>
        <w:spacing w:after="0" w:line="240" w:lineRule="auto"/>
        <w:ind/>
        <w:jc w:val="center"/>
        <w:outlineLvl w:val="1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</w:t>
      </w:r>
      <w:r>
        <w:rPr>
          <w:rFonts w:ascii="Times New Roman" w:hAnsi="Times New Roman" w:cs="Times New Roman"/>
          <w:sz w:val="28"/>
          <w:szCs w:val="28"/>
        </w:rPr>
        <w:t xml:space="preserve">ствлении муниципального земельного контроля проведение профилактических мероприятий, направленных на снижение риска причинения вреда (ущерба) охраняемым законом ценностям, является приоритетным по отношению к проведению контрольных (надзорных) мероприятий.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профилактической работы включаются в годовой Доклад об осуществлении муниципального земельного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«Букачачинское»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1276" w:right="850" w:bottom="851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MS Reference Sans Serif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none"/>
      <w:pPr>
        <w:pBdr/>
        <w:tabs>
          <w:tab w:val="num" w:leader="none" w:pos="0"/>
        </w:tabs>
        <w:spacing/>
        <w:ind w:hanging="432" w:left="432"/>
      </w:pPr>
      <w:rPr>
        <w:rFonts w:hint="default"/>
      </w:rPr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0"/>
        </w:tabs>
        <w:spacing/>
        <w:ind w:hanging="576" w:left="576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0"/>
        </w:tabs>
        <w:spacing/>
        <w:ind w:hanging="720" w:left="72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abstractNum w:abstractNumId="1">
    <w:lvl w:ilvl="0">
      <w:isLgl w:val="false"/>
      <w:lvlJc w:val="left"/>
      <w:lvlText w:val="-"/>
      <w:numFmt w:val="bullet"/>
      <w:pPr>
        <w:pBdr/>
        <w:spacing/>
        <w:ind/>
      </w:pPr>
      <w:rPr>
        <w:rFonts w:ascii="MS Reference Sans Serif" w:hAnsi="MS Reference Sans Serif" w:eastAsia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lang w:val="ru-RU" w:eastAsia="ru-RU" w:bidi="ru-RU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%1."/>
      <w:numFmt w:val="upperRoman"/>
      <w:pPr>
        <w:pBdr/>
        <w:spacing/>
        <w:ind w:hanging="720" w:left="1995"/>
      </w:pPr>
      <w:rPr>
        <w:rFonts w:hint="default"/>
        <w:b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222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942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662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382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102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822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542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262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429"/>
      </w:pPr>
      <w:rPr>
        <w:rFonts w:hint="default"/>
      </w:rPr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1635"/>
      </w:pPr>
      <w:rPr>
        <w:rFonts w:hint="default"/>
      </w:rPr>
      <w:start w:val="2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35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07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79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51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23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95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67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395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upperRoman"/>
      <w:pPr>
        <w:pBdr/>
        <w:spacing/>
        <w:ind w:hanging="720" w:left="862"/>
      </w:pPr>
      <w:rPr>
        <w:rFonts w:hint="default"/>
        <w:b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222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942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662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382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102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822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542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262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/>
      </w:pPr>
      <w:rPr>
        <w:rFonts w:hint="default" w:ascii="Times New Roman" w:hAnsi="Times New Roman" w:eastAsia="MS Reference Sans Serif" w:cs="Times New Roman"/>
        <w:b/>
        <w:bCs w:val="0"/>
        <w:i w:val="0"/>
        <w:iCs w:val="0"/>
        <w:smallCaps w:val="0"/>
        <w:strike w:val="0"/>
        <w:color w:val="auto"/>
        <w:spacing w:val="0"/>
        <w:position w:val="0"/>
        <w:sz w:val="28"/>
        <w:szCs w:val="20"/>
        <w:u w:val="none"/>
        <w:lang w:val="ru-RU" w:eastAsia="ru-RU" w:bidi="ru-RU"/>
      </w:rPr>
      <w:start w:val="3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0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4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4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4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4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9">
    <w:name w:val="Heading 2"/>
    <w:basedOn w:val="645"/>
    <w:next w:val="645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45"/>
    <w:next w:val="645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45"/>
    <w:next w:val="645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45"/>
    <w:next w:val="645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45"/>
    <w:next w:val="645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45"/>
    <w:next w:val="645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45"/>
    <w:next w:val="645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45"/>
    <w:next w:val="645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47"/>
    <w:link w:val="64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45"/>
    <w:next w:val="645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45"/>
    <w:next w:val="645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45"/>
    <w:next w:val="645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45"/>
    <w:next w:val="645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6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47"/>
    <w:uiPriority w:val="20"/>
    <w:qFormat/>
    <w:pPr>
      <w:pBdr/>
      <w:spacing/>
      <w:ind/>
    </w:pPr>
    <w:rPr>
      <w:i/>
      <w:iCs/>
    </w:rPr>
  </w:style>
  <w:style w:type="character" w:styleId="173">
    <w:name w:val="Subtle Reference"/>
    <w:basedOn w:val="6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45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47"/>
    <w:link w:val="175"/>
    <w:uiPriority w:val="99"/>
    <w:pPr>
      <w:pBdr/>
      <w:spacing/>
      <w:ind/>
    </w:pPr>
  </w:style>
  <w:style w:type="paragraph" w:styleId="177">
    <w:name w:val="Footer"/>
    <w:basedOn w:val="645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47"/>
    <w:link w:val="177"/>
    <w:uiPriority w:val="99"/>
    <w:pPr>
      <w:pBdr/>
      <w:spacing/>
      <w:ind/>
    </w:pPr>
  </w:style>
  <w:style w:type="paragraph" w:styleId="179">
    <w:name w:val="Caption"/>
    <w:basedOn w:val="645"/>
    <w:next w:val="64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45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45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47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6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45"/>
    <w:next w:val="645"/>
    <w:uiPriority w:val="99"/>
    <w:unhideWhenUsed/>
    <w:pPr>
      <w:pBdr/>
      <w:spacing w:after="0" w:afterAutospacing="0"/>
      <w:ind/>
    </w:pPr>
  </w:style>
  <w:style w:type="paragraph" w:styleId="645" w:default="1">
    <w:name w:val="Normal"/>
    <w:qFormat/>
    <w:pPr>
      <w:pBdr/>
      <w:spacing/>
      <w:ind/>
    </w:pPr>
  </w:style>
  <w:style w:type="paragraph" w:styleId="646">
    <w:name w:val="Heading 1"/>
    <w:basedOn w:val="645"/>
    <w:next w:val="645"/>
    <w:link w:val="661"/>
    <w:qFormat/>
    <w:pPr>
      <w:keepNext w:val="true"/>
      <w:pBdr/>
      <w:spacing w:after="0" w:line="240" w:lineRule="auto"/>
      <w:ind w:hanging="720" w:left="1995"/>
      <w:jc w:val="center"/>
      <w:outlineLvl w:val="0"/>
    </w:pPr>
    <w:rPr>
      <w:rFonts w:ascii="Times New Roman" w:hAnsi="Times New Roman" w:eastAsia="Times New Roman" w:cs="Times New Roman"/>
      <w:b/>
      <w:sz w:val="24"/>
      <w:szCs w:val="20"/>
      <w:lang w:eastAsia="zh-CN"/>
    </w:rPr>
  </w:style>
  <w:style w:type="character" w:styleId="647" w:default="1">
    <w:name w:val="Default Paragraph Font"/>
    <w:uiPriority w:val="1"/>
    <w:semiHidden/>
    <w:unhideWhenUsed/>
    <w:pPr>
      <w:pBdr/>
      <w:spacing/>
      <w:ind/>
    </w:pPr>
  </w:style>
  <w:style w:type="table" w:styleId="64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49" w:default="1">
    <w:name w:val="No List"/>
    <w:uiPriority w:val="99"/>
    <w:semiHidden/>
    <w:unhideWhenUsed/>
    <w:pPr>
      <w:pBdr/>
      <w:spacing/>
      <w:ind/>
    </w:pPr>
  </w:style>
  <w:style w:type="character" w:styleId="650">
    <w:name w:val="Hyperlink"/>
    <w:basedOn w:val="647"/>
    <w:uiPriority w:val="99"/>
    <w:unhideWhenUsed/>
    <w:pPr>
      <w:pBdr/>
      <w:spacing/>
      <w:ind/>
    </w:pPr>
    <w:rPr>
      <w:color w:val="0000ff"/>
      <w:u w:val="single"/>
    </w:rPr>
  </w:style>
  <w:style w:type="character" w:styleId="651" w:customStyle="1">
    <w:name w:val="ConsPlusNormal Знак"/>
    <w:basedOn w:val="647"/>
    <w:link w:val="652"/>
    <w:pPr>
      <w:pBdr/>
      <w:spacing/>
      <w:ind/>
    </w:pPr>
    <w:rPr>
      <w:rFonts w:ascii="Times New Roman" w:hAnsi="Times New Roman"/>
      <w:sz w:val="28"/>
      <w:szCs w:val="28"/>
    </w:rPr>
  </w:style>
  <w:style w:type="paragraph" w:styleId="652" w:customStyle="1">
    <w:name w:val="ConsPlusNormal"/>
    <w:link w:val="651"/>
    <w:qFormat/>
    <w:pPr>
      <w:pBdr/>
      <w:spacing w:after="0" w:line="240" w:lineRule="auto"/>
      <w:ind/>
    </w:pPr>
    <w:rPr>
      <w:rFonts w:ascii="Times New Roman" w:hAnsi="Times New Roman"/>
      <w:sz w:val="28"/>
      <w:szCs w:val="28"/>
    </w:rPr>
  </w:style>
  <w:style w:type="character" w:styleId="653">
    <w:name w:val="Strong"/>
    <w:basedOn w:val="647"/>
    <w:uiPriority w:val="22"/>
    <w:qFormat/>
    <w:pPr>
      <w:pBdr/>
      <w:spacing/>
      <w:ind/>
    </w:pPr>
    <w:rPr>
      <w:b/>
      <w:bCs/>
    </w:rPr>
  </w:style>
  <w:style w:type="paragraph" w:styleId="654">
    <w:name w:val="Normal (Web)"/>
    <w:basedOn w:val="645"/>
    <w:uiPriority w:val="99"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</w:rPr>
  </w:style>
  <w:style w:type="paragraph" w:styleId="655">
    <w:name w:val="No Spacing"/>
    <w:uiPriority w:val="1"/>
    <w:qFormat/>
    <w:pPr>
      <w:pBdr/>
      <w:spacing w:after="0" w:line="240" w:lineRule="auto"/>
      <w:ind/>
    </w:pPr>
  </w:style>
  <w:style w:type="paragraph" w:styleId="656">
    <w:name w:val="Balloon Text"/>
    <w:basedOn w:val="645"/>
    <w:link w:val="657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657" w:customStyle="1">
    <w:name w:val="Текст выноски Знак"/>
    <w:basedOn w:val="647"/>
    <w:link w:val="656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658" w:customStyle="1">
    <w:name w:val="Заголовок №1_"/>
    <w:basedOn w:val="647"/>
    <w:link w:val="659"/>
    <w:pPr>
      <w:pBdr/>
      <w:spacing/>
      <w:ind/>
    </w:pPr>
    <w:rPr>
      <w:rFonts w:ascii="Times New Roman" w:hAnsi="Times New Roman" w:eastAsia="Times New Roman" w:cs="Times New Roman"/>
      <w:b/>
      <w:bCs/>
      <w:sz w:val="26"/>
      <w:szCs w:val="26"/>
      <w:shd w:val="clear" w:color="auto" w:fill="ffffff"/>
    </w:rPr>
  </w:style>
  <w:style w:type="paragraph" w:styleId="659" w:customStyle="1">
    <w:name w:val="Заголовок №1"/>
    <w:basedOn w:val="645"/>
    <w:link w:val="658"/>
    <w:pPr>
      <w:widowControl w:val="false"/>
      <w:pBdr/>
      <w:shd w:val="clear" w:color="auto" w:fill="ffffff"/>
      <w:spacing w:after="420" w:before="300" w:line="0" w:lineRule="atLeast"/>
      <w:ind/>
      <w:jc w:val="center"/>
      <w:outlineLvl w:val="0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660">
    <w:name w:val="List Paragraph"/>
    <w:basedOn w:val="645"/>
    <w:qFormat/>
    <w:pPr>
      <w:pBdr/>
      <w:spacing/>
      <w:ind w:left="720"/>
      <w:contextualSpacing w:val="true"/>
    </w:pPr>
  </w:style>
  <w:style w:type="character" w:styleId="661" w:customStyle="1">
    <w:name w:val="Заголовок 1 Знак"/>
    <w:basedOn w:val="647"/>
    <w:link w:val="646"/>
    <w:pPr>
      <w:pBdr/>
      <w:spacing/>
      <w:ind/>
    </w:pPr>
    <w:rPr>
      <w:rFonts w:ascii="Times New Roman" w:hAnsi="Times New Roman" w:eastAsia="Times New Roman" w:cs="Times New Roman"/>
      <w:b/>
      <w:sz w:val="24"/>
      <w:szCs w:val="20"/>
      <w:lang w:eastAsia="zh-CN"/>
    </w:rPr>
  </w:style>
  <w:style w:type="character" w:styleId="662" w:customStyle="1">
    <w:name w:val="WW8Num1z5"/>
    <w:pPr>
      <w:pBdr/>
      <w:spacing/>
      <w:ind/>
    </w:pPr>
  </w:style>
  <w:style w:type="character" w:styleId="663" w:customStyle="1">
    <w:name w:val="ConsPlusNormal1"/>
    <w:pPr>
      <w:pBdr/>
      <w:spacing/>
      <w:ind/>
    </w:pPr>
    <w:rPr>
      <w:rFonts w:ascii="Times New Roman" w:hAnsi="Times New Roman" w:eastAsia="Times New Roman" w:cs="Times New Roman"/>
      <w:sz w:val="24"/>
      <w:lang w:eastAsia="ru-RU"/>
    </w:rPr>
  </w:style>
  <w:style w:type="paragraph" w:styleId="664">
    <w:name w:val="Body Text"/>
    <w:basedOn w:val="645"/>
    <w:link w:val="665"/>
    <w:pPr>
      <w:pBdr/>
      <w:spacing w:after="0" w:line="240" w:lineRule="auto"/>
      <w:ind/>
      <w:jc w:val="both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665" w:customStyle="1">
    <w:name w:val="Основной текст Знак"/>
    <w:basedOn w:val="647"/>
    <w:link w:val="664"/>
    <w:pPr>
      <w:pBdr/>
      <w:spacing/>
      <w:ind/>
    </w:pPr>
    <w:rPr>
      <w:rFonts w:ascii="Times New Roman" w:hAnsi="Times New Roman" w:eastAsia="Times New Roman" w:cs="Times New Roman"/>
      <w:sz w:val="28"/>
      <w:szCs w:val="20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www.pogranichny.ru/index.php/2015-04-16-03-32-01/2015-04-18-10-00-44/2018-god/5109-ob-utverzhdenii-programmy-profilaktiki-narushenij-obyazatelnykh-trebovanij-pri-provedenii-munitsipalnogo-zemelnogo-kontrolya-na-2018-go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Grizli777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revision>15</cp:revision>
  <dcterms:created xsi:type="dcterms:W3CDTF">2021-12-28T01:44:00Z</dcterms:created>
  <dcterms:modified xsi:type="dcterms:W3CDTF">2024-10-24T05:17:24Z</dcterms:modified>
</cp:coreProperties>
</file>