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878" w:type="dxa"/>
        <w:tblInd w:w="-743" w:type="dxa"/>
        <w:tblBorders/>
        <w:tblLayout w:type="fixed"/>
        <w:tblLook w:val="04A0" w:firstRow="1" w:lastRow="0" w:firstColumn="1" w:lastColumn="0" w:noHBand="0" w:noVBand="1"/>
      </w:tblPr>
      <w:tblGrid>
        <w:gridCol w:w="425"/>
        <w:gridCol w:w="3218"/>
        <w:gridCol w:w="900"/>
        <w:gridCol w:w="2320"/>
        <w:gridCol w:w="1476"/>
        <w:gridCol w:w="1243"/>
        <w:gridCol w:w="69"/>
        <w:gridCol w:w="1227"/>
      </w:tblGrid>
      <w:tr>
        <w:trPr>
          <w:gridAfter w:val="2"/>
          <w:trHeight w:val="18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2" w:type="dxa"/>
            <w:vAlign w:val="bottom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 Е Ш Е Н И 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  от «20» апреля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 122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гт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. Букачача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Об  исполнении бюджета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кв.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2024г.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«О бюджете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на 2024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год.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В соответствии с п.5 ст.264.2 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 Решил: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701"/>
              <w:numPr>
                <w:ilvl w:val="0"/>
                <w:numId w:val="3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Утвердить испол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нение местного бюджета 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кв.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2024г.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по расходам в сумме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3 935,6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уб.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, по доходам в сумме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5 193,2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тыс.руб.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701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701"/>
              <w:numPr>
                <w:ilvl w:val="0"/>
                <w:numId w:val="3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Утвердить источники внутреннего финансирования дефицита бюджета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Букачачинское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701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701"/>
              <w:numPr>
                <w:ilvl w:val="0"/>
                <w:numId w:val="3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Утвердить отчет Численность муниципальных служащих и работников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муниципальных учреждений, фактические затраты на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их денежное содержание за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кв.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firstLine="317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4. Контроль за исполнением настоящего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Решения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оставляю за собой.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Председатель Совета городского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поселения   «Букачачинское»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А.А.Петренко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tbl>
            <w:tblPr>
              <w:tblW w:w="12002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390"/>
              <w:gridCol w:w="2612"/>
            </w:tblGrid>
            <w:tr>
              <w:trPr>
                <w:trHeight w:val="319"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2002" w:type="dxa"/>
                  <w:vAlign w:val="bottom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Исполнение бюджета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2002" w:type="dxa"/>
                  <w:vAlign w:val="bottom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з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а период с 01.01.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2024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г. по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31.03.2024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г.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2002" w:type="dxa"/>
                  <w:vAlign w:val="bottom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  <w:t xml:space="preserve">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  <w:t xml:space="preserve">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  <w:t xml:space="preserve">иница измерения: тыс. руб.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</w:rPr>
                  </w:r>
                </w:p>
              </w:tc>
            </w:tr>
            <w:tr>
              <w:trPr>
                <w:gridAfter w:val="1"/>
                <w:trHeight w:val="31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390" w:type="dxa"/>
                  <w:vAlign w:val="bottom"/>
                  <w:textDirection w:val="lrTb"/>
                  <w:noWrap w:val="false"/>
                </w:tcPr>
                <w:tbl>
                  <w:tblPr>
                    <w:tblW w:w="9272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6"/>
                    <w:gridCol w:w="993"/>
                    <w:gridCol w:w="992"/>
                    <w:gridCol w:w="987"/>
                    <w:gridCol w:w="1134"/>
                  </w:tblGrid>
                  <w:tr>
                    <w:trPr>
                      <w:trHeight w:val="51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Наименование вида доходов (с учетом группировки)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План первоначальный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План с изменениями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Поступление на счет бюджета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Процент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15"/>
                    </w:trPr>
                    <w:tc>
                      <w:tcPr>
                        <w:shd w:val="clear" w:color="000000" w:fill="b9cde5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НАЛОГОВЫЕ И НЕНАЛОГОВЫЕ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10 671,30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10 671,30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2 612,30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24,48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НАЛОГИ НА ПРИБЫЛЬ,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2 517,40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2 517,40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486,69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19,33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2 517,40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2 517,40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486,69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19,33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046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2 517,40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2 517,40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3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486,69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2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8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707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НАЛОГИ НА ТОВАРЫ (РАБОТЫ, УСЛУГИ), РЕАЛИЗУЕМЫЕ НА ТЕРРИТОРИИ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5 773,70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5 773,70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1 468,28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25,43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55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дизельное топливо,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3 011,20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83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14,30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9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автомобильный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3 122,30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90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-374,10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557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дизельное топливо,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3 011,20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719,87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91,07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9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14,30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3,79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70,61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89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автомобильный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3 122,30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821,05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78,40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685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-374,10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-76,43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81,01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НАЛОГИ НА ИМУЩЕСТВО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2 275,0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2 275,00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643,29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28,28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Налог на имущество физических лиц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140,0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140,0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0,68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0,48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99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140,0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140,0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9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0,68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Земельный налог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2 135,00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2 135,00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642,61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30,10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93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организаций,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2 066,00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2 066,00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5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организаций,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613,93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2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физических лиц,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69,00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69,00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4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Земельный налог с физических лиц, обладающих земельным участком, расположенным в границах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28,68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ГОСУДАРСТВЕННАЯ ПОШЛИНА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12,00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12,00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1,05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8,75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12,00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12,00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1,05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8,75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8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12,00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12,00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8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1,05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42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ДОХОДЫ ОТ ИСПОЛЬЗОВАНИЯ ИМУЩЕСТВА, НАХОДЯЩЕГОСЯ В ГОСУДАРСТВЕННОЙ И МУНИЦИПАЛЬНОЙ СОБСТВЕННОСТИ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12,99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14,73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273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Доходы, получаемые в виде аренд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88,20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12,99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14,73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22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Доходы, пол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88,20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88,20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12,99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14,73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ПРОЧИЕ НЕНАЛОГОВЫЕ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Прочие неналоговые доходы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6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Прочие неналоговые доходы бюджетов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15"/>
                    </w:trPr>
                    <w:tc>
                      <w:tcPr>
                        <w:shd w:val="clear" w:color="000000" w:fill="b9cde5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БЕЗВОЗМЕЗДНЫЕ ПОСТУПЛЕНИЯ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8 840,60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8 853,54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2 580,94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b9cde5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29,15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765"/>
                    </w:trPr>
                    <w:tc>
                      <w:tcPr>
                        <w:shd w:val="clear" w:color="000000" w:fill="dce6f2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БЕЗВОЗМЕЗДНЫЕ ПОСТУПЛЕНИЯ ОТ ДРУГИХ БЮДЖЕТОВ БЮДЖЕТНОЙ СИСТЕМЫ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8 840,60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8 853,54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2 580,94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dce6f2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29,15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71"/>
                    </w:trPr>
                    <w:tc>
                      <w:tcPr>
                        <w:shd w:val="clear" w:color="auto" w:fill="ffffff" w:themeFill="background1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Дотации бюджетам на поддержку мер по обеспечению сбалансированности бюджетов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12,94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12,94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65"/>
                    </w:trPr>
                    <w:tc>
                      <w:tcPr>
                        <w:shd w:val="clear" w:color="auto" w:fill="ffffff" w:themeFill="background1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Дотации бюджетам городских поселений на поддержку мер по обеспечению сбалансированности бюджетов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12,94</w:t>
                        </w:r>
                        <w:r>
                          <w:rPr>
                            <w:rFonts w:ascii="Times New Roman" w:hAnsi="Times New Roman" w:eastAsia="Times New Roman" w:cs="Times New Roman"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12,94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ffffff" w:themeFill="background1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100,00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71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4 562,10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4 562,10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2 514,58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55,12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51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Дотации бюджетам городских поселений на выравнивание бюджетной обеспеченности из бюджетов муниципальных районов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4 562,10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4 562,10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2 514,58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55,12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10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Субвенции бюджетам бюджетной системы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300,60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300,60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53,43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17,77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07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300,60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300,60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53,43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17,77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87"/>
                    </w:trPr>
                    <w:tc>
                      <w:tcPr>
                        <w:shd w:val="clear" w:color="000000" w:fill="f1f5f9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Межбюджетные трансферты, передаваемые бюджетам, за счет средств резервного фонда Президента Российской Федерации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3 977,90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3 977,90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1f5f9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55"/>
                    </w:trPr>
                    <w:tc>
                      <w:tcPr>
                        <w:shd w:val="clear" w:color="auto" w:fill="auto"/>
                        <w:tcBorders/>
                        <w:tcW w:w="5166" w:type="dxa"/>
                        <w:textDirection w:val="lrTb"/>
                        <w:noWrap w:val="false"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Прочие межбюджетные трансферты, передаваемые бюджетам городских поселений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3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3 977,90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92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3 977,90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987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1134" w:type="dxa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0,00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8"/>
                    </w:trPr>
                    <w:tc>
                      <w:tcPr>
                        <w:shd w:val="clear" w:color="000000" w:fill="ffd5ab"/>
                        <w:tcBorders/>
                        <w:tcW w:w="5166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993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19 511,90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992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19 524,84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98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5 193,24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shd w:val="clear" w:color="000000" w:fill="ffd5ab"/>
                        <w:tcBorders/>
                        <w:tcW w:w="1134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pBdr/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26,60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pBdr/>
                    <w:spacing/>
                    <w:ind/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Calibri" w:hAnsi="Calibri"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tbl>
            <w:tblPr>
              <w:tblW w:w="10949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>
              <w:trPr>
                <w:trHeight w:val="31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949" w:type="dxa"/>
                  <w:vAlign w:val="bottom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  <w:t xml:space="preserve">ИСПОЛНЕНИЕ ПО РАСХОДАМ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tbl>
            <w:tblPr>
              <w:tblW w:w="938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709"/>
              <w:gridCol w:w="709"/>
              <w:gridCol w:w="1275"/>
              <w:gridCol w:w="567"/>
              <w:gridCol w:w="993"/>
              <w:gridCol w:w="992"/>
              <w:gridCol w:w="992"/>
            </w:tblGrid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Вед.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Разд.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Ц.ст.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Расх.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Уточненная роспись/план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Касс. расход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Исполнение лимитов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 АДМИНИСТРАЦИЯ ГОРОДСКОГО ПОСЕЛЕНИЯ "БУКАЧАЧИНСКОЕ"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20 782,95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3 935,62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18,94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Общегосударственные вопросы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3 578,89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696,78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19,47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8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Функционирование высшего должностного лица субъекта Российской Федерации и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1 197,40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244,97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20,46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Глава муниципального образования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1 197,40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244,97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20,46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919,70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201,78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21,94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277,70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43,19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15,55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358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2 381,49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451,80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18,97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Центральный аппарат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2 381,49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451,80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18,97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23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1 559,03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304,49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19,53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44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36,00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8,33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328,30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66,78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20,34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181,50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33,88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18,67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271,01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38,00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14,02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21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Уплата прочих налогов, сборов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852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5,66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5,66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Другие общегосударственные вопросы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2 331,60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632,00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27,11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2 331,60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632,00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27,11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1 790,70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513,17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28,66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по оплате труда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0804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540,90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118,83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21,97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Другие общегосударственные вопросы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4 555,96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1 953,13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42,87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подведомственных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1 703,38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472,04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27,71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1 322,88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384,09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29,03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0000009399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380,50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87,94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23,11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Выполнение других обязательств ОМСУ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2 852,59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1 481,10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51,92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Фонд оплаты труда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119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9,4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товаров, работ и услуг в сфере информационно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-коммуникационных технологий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100%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320,23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282,34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88,17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энергетических ресурсов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0113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0000092305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2 450,96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1 157,76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47,24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Национальная оборона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300,60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53,43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17,77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Мобилизационная и вневойсковая подготовка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300,60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53,43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17,77%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53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300,60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53,43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17,77%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Фонд оплаты труда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254,60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41,04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16,12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129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12,39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27,53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0203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0000051180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Национальная безопасность и правоохранительная деятельность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2,22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Гражданская оборона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2,22%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характера,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обеспечение противопожарной безопасности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0000021801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2,22%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0000021801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340,00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2,94%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Исполнение судебных актов Российской Федерации и мировых соглашений по возмещению причиненного вреда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0000021801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831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70,00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Резервные средства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0309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0000021801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870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Национальная экономика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6 903,89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318,95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4,62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Дорожное хозяйство (дорожные фонды)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6 903,89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318,95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4,62%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Строительство и содержание автомобильных дорог и инженерных сооружений на них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0000031512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6 903,89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318,95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4,62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0409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0000031512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6 903,89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318,95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4,62%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Жилищно-коммунальное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1 797,03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225,93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12,57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Коммунальное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1 710,36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225,93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13,21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Жилищно-коммунальное хозяйство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0000035105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1 710,36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225,93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13,21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Закупка энергетических ресурсов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0000035105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1 710,36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225,93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13,21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Благоустройство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86,67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городских округов и поселений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0000060005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86,67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0000060005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244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36,17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Прочая закупка товаров, работ и услуг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0503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0000060005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831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50,5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Социальная политика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284,80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15,94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%</w:t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Пенсионное обеспечение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284,80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Доплаты к пенсиям, дополнительное пенсионное обеспечение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0000049101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284,80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Пособия, компенсации и иные социальные выплаты гражданам, кроме публичных нормативных обязательств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0000049101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321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284,80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45,40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2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Межбюджетные трансферты общего характера бюджетам бюджетной системы Российской Федерации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580,17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0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межбюджетные трансферты общего характера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0000000000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1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580,17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1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7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Межбюджетные трансферты на организацию библиотечного обслуживания населения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0000052160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2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580,17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2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99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48" w:type="dxa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Иные межбюджетные трансферты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802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709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1403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1275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0000052160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567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540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3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580,17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0,00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000000" w:fill="ccffff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992" w:type="dxa"/>
                  <w:textDirection w:val="lrTb"/>
                  <w:noWrap/>
                </w:tcPr>
                <w:p>
                  <w:pPr>
                    <w:pBdr/>
                    <w:spacing w:after="0" w:line="240" w:lineRule="auto"/>
                    <w:ind/>
                    <w:jc w:val="right"/>
                    <w:outlineLvl w:val="3"/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Arial CYR" w:hAnsi="Arial CYR" w:eastAsia="Times New Roman" w:cs="Arial CYR"/>
                      <w:b/>
                      <w:bCs/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gridAfter w:val="2"/>
          <w:trHeight w:val="188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3. Источники финансирования дефицита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18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0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20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eastAsia="Times New Roman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41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строки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источника финансирования дефицита бюджета по бюджетной классификации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Утвержденные бюджетные назначения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Исполнено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Неисполненные назначения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финансирования дефицита бюджета - всего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1 258 117,08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-1 257 623,63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2 515 740,71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28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 том числе: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внутреннего финансирования бюджета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из них: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620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5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них: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000 01 05 00 00 00 0000 000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1 258 117,08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-1 257 623,63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2 515 740,71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остатков средств, всего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000 01 05 00 00 00 0000 500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-19 524 835,00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-5 222 761,15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000 01 05 02 00 00 0000 500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-19 524 835,00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-5 222 761,15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000 01 05 02 01 00 0000 510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-19 524 835,00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-5 222 761,15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758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000 01 05 02 01 13 0000 510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-19 524 835,00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-5 222 761,15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остатков средств, всего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000 01 05 00 00 00 0000 600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20 782 952,08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3 965 137,52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52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000 01 05 02 00 00 0000 600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20 782 952,08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3 965 137,52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000 01 05 02 01 00 0000 610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20 782 952,08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3 965 137,52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  <w:tr>
        <w:trPr>
          <w:gridBefore w:val="1"/>
          <w:trHeight w:val="62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321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720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000 01 05 02 01 13 0000 610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20 782 952,08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3 965 137,52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X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</w:r>
      <w:r>
        <w:rPr>
          <w:rFonts w:ascii="Times New Roman" w:hAnsi="Times New Roman" w:cs="Times New Roman"/>
          <w:sz w:val="16"/>
          <w:szCs w:val="16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Bdr/>
        <w:spacing/>
        <w:ind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tbl>
      <w:tblPr>
        <w:tblW w:w="12285" w:type="dxa"/>
        <w:tblInd w:w="-559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855"/>
        <w:gridCol w:w="552"/>
        <w:gridCol w:w="440"/>
        <w:gridCol w:w="1418"/>
        <w:gridCol w:w="1275"/>
        <w:gridCol w:w="1137"/>
        <w:gridCol w:w="320"/>
        <w:gridCol w:w="386"/>
        <w:gridCol w:w="2126"/>
        <w:gridCol w:w="709"/>
        <w:gridCol w:w="661"/>
      </w:tblGrid>
      <w:tr>
        <w:trPr>
          <w:gridAfter w:val="1"/>
          <w:trHeight w:val="20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line="105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Численность муниципальных служащих и работников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городского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поселения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Букачачинское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МР «Чернышевский район»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фактические затраты на их денежное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1"/>
          <w:trHeight w:val="79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line="360" w:lineRule="atLeast"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</w:tr>
      <w:tr>
        <w:trPr>
          <w:gridAfter w:val="1"/>
          <w:trHeight w:val="20"/>
        </w:trPr>
        <w:tc>
          <w:tcPr>
            <w:gridSpan w:val="11"/>
            <w:shd w:val="clear" w:color="auto" w:fill="ffffff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1624" w:type="dxa"/>
            <w:vAlign w:val="bottom"/>
            <w:textDirection w:val="lrTb"/>
            <w:noWrap w:val="false"/>
          </w:tcPr>
          <w:p>
            <w:pPr>
              <w:pBdr/>
              <w:spacing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кв.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</w:tr>
      <w:tr>
        <w:trPr>
          <w:trHeight w:val="2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0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83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88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</w:tr>
      <w:tr>
        <w:trPr>
          <w:gridAfter w:val="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7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штатных единиц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Затраты на оплату труда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(нарастающим итогом)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pBdr/>
              <w:spacing w:after="0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кв.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969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Страховые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взносы (нарастающим итогом)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кв.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shd w:val="clear" w:color="auto" w:fill="f5f5f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0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tLeast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Букачачинское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2 478,7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506,27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0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муниципальные служащие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Букачачинское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3 144,58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897,26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930,80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206,78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5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40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/>
              <w: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85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5 623,30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1 403,53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1 536,80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pBdr/>
              <w:spacing w:after="100" w:afterAutospacing="1" w:line="360" w:lineRule="atLeast"/>
              <w: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316,75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ОБ ИСПОЛНЕНИИ БЮДЖЕТА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 за 1 кв.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Доходная часть бюджета утверждена Советом  городского поселения «Букачачинское»  от 29.12.2023 г. № 112  в сумме   19 511,90  тыс. руб., в том числе: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собственные доходы в сумме 10 671,30 тыс. руб., при уточненном плане 10 671,30 тыс.руб.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и неналоговые доходы за 1 кв.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на 1 кв. 2024 г. утверждены в бюджете в сумме  2 710,10 тыс. руб., исполнение составило 2 612,30 тыс. руб. или исполнены на 96,4%.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2 337,80 тыс. руб. исполнение составило 2 557,18 тыс. руб., что составило  109,38 %.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доходы за 1 кв.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доходы на 1 кв. 2024 г. утверждены в бюджете в сумме 2 701,10 тыс. руб., исполнение составило 2 599,31 тыс. руб. или исполнено на 96,2%.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2 327,30 тыс. руб. исполнение составило 2 518,80 тыс. руб., что составило  108,2%.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 на доходы с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кв.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уточненном плане 415,0  тыс. руб. исполнение 486,69 тыс. руб., что составляет 117,3%.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 1 квартал к годовым бюджетным назначениям составляет 19,3%.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439,0 тыс. руб. исполнение составило 423,50 тыс. руб., что составило 96,5%.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от уплаты акцизов  за 1 кв.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1 413,90 тыс. руб. исполнение 1 468,28 тыс. руб., что составляет 103,8%.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 при плане 1 271,90 тыс. руб., исполнение составило 1 373,30 тыс. руб., что составляет 108,0%.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 на имущество с физических лиц за 1 кв.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 на имущество исполнено в сумме 0,68 тыс.руб., в плане не было предусмотрено.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Погашение недоимки.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Недоимка на 01.01.2024г. составляет 263,8 тыс. руб.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прошлый период бюджетные назначения на 1 кв. 2023 года не предусмотрены.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налог с организаций за 1 кв.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866,0 тыс. руб. исполнено 613,93 тыс. руб. что составляет 70,9%.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земельного налога не в полном объёме связано со снижением кадастровой стоимости земли МОУ СОШ №10 п.Букачача, МДОУ д/с «Малыш» п. Букачача, ОАО «РЖД».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при плане 610,80 тыс. руб., исполнение составило 683,10 тыс. руб., что составило 111,8%.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Переисполнено в связи с изменением кадастровой стоимости земли  МОУ СОШ №10 п.Букачача, МДОУ д/с «Малыш» п. Букачача.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налог с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1 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4,80 тыс. руб. исполнение 28,68 тыс. руб., что составляет 597,5%.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Переисполнение связано с проведением Межведомственной комиссии по мобилизации доходов, снижение недоимки.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при плане 4,30 тыс. руб., исполнение составило 3,50 тыс. руб., что составило 81,4%.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Неисполнение недоимки.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  за 1 кв.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1,40 тыс. руб., исполнение 1,05 тыс. руб., что составляет 75,0%.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при плане 1,30 тыс. руб. исполнение составило 2,0 тыс. руб., что составило 153,8%.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Неналоговые доходы за 1 кв.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Неналоговые доходы на 1 кв. 2024 г. утверждены в бюджете в сумме 9,0 тыс. руб., исполнение составило 12,99 тыс. руб. или исполнены на 144,3%.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10,50 тыс. руб. исполнение составило 38,40  тыс. руб., что составило 365,7%.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Доходы, получаемые в виде ар</w:t>
      </w:r>
      <w:r>
        <w:rPr>
          <w:rFonts w:ascii="Times New Roman" w:hAnsi="Times New Roman" w:cs="Times New Roman"/>
          <w:b/>
          <w:sz w:val="24"/>
          <w:szCs w:val="24"/>
        </w:rPr>
        <w:t xml:space="preserve">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за 1 кв. 2024 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9,0 тыс. руб., исполнение 12,99 тыс. руб., что составляет 144,3%.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при плане 10,50 тыс. руб., исполнение составило 28,40 тыс. руб., что составило 270,5%.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Прочие неналоговые доходы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Бюджетные назначения на квартал не предусмотрено.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аналогичный период прошлого года исполнение составило  10,0 тыс. руб.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исполнение: 2 612,30 тыс. руб.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   А.Е. Кузьменко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  <w:t xml:space="preserve">Расходы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u w:val="singl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Расходы консолидированного бюджета </w:t>
      </w:r>
      <w:r>
        <w:rPr>
          <w:rFonts w:ascii="Times New Roman" w:hAnsi="Times New Roman" w:eastAsia="Times New Roman" w:cs="Times New Roman"/>
          <w:color w:val="000000"/>
        </w:rPr>
        <w:t xml:space="preserve">городского</w:t>
      </w:r>
      <w:r>
        <w:rPr>
          <w:rFonts w:ascii="Times New Roman" w:hAnsi="Times New Roman" w:eastAsia="Times New Roman" w:cs="Times New Roman"/>
          <w:color w:val="000000"/>
        </w:rPr>
        <w:t xml:space="preserve"> поселения за  </w:t>
      </w:r>
      <w:r>
        <w:rPr>
          <w:rFonts w:ascii="Times New Roman" w:hAnsi="Times New Roman" w:eastAsia="Times New Roman" w:cs="Times New Roman"/>
          <w:color w:val="000000"/>
        </w:rPr>
        <w:t xml:space="preserve">1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кв.</w:t>
      </w:r>
      <w:r>
        <w:rPr>
          <w:rFonts w:ascii="Times New Roman" w:hAnsi="Times New Roman" w:eastAsia="Times New Roman" w:cs="Times New Roman"/>
          <w:color w:val="000000"/>
        </w:rPr>
        <w:t xml:space="preserve"> 2024 </w:t>
      </w:r>
      <w:r>
        <w:rPr>
          <w:rFonts w:ascii="Times New Roman" w:hAnsi="Times New Roman" w:eastAsia="Times New Roman" w:cs="Times New Roman"/>
          <w:color w:val="000000"/>
        </w:rPr>
        <w:t xml:space="preserve">г. составили </w:t>
      </w:r>
      <w:r>
        <w:rPr>
          <w:rFonts w:ascii="Times New Roman" w:hAnsi="Times New Roman" w:eastAsia="Times New Roman" w:cs="Times New Roman"/>
          <w:color w:val="000000"/>
        </w:rPr>
        <w:t xml:space="preserve">3 935,62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 т</w:t>
      </w:r>
      <w:r>
        <w:rPr>
          <w:rFonts w:ascii="Times New Roman" w:hAnsi="Times New Roman" w:eastAsia="Times New Roman" w:cs="Times New Roman"/>
          <w:color w:val="000000"/>
        </w:rPr>
        <w:t xml:space="preserve">ыс</w:t>
      </w:r>
      <w:r>
        <w:rPr>
          <w:rFonts w:ascii="Times New Roman" w:hAnsi="Times New Roman" w:eastAsia="Times New Roman" w:cs="Times New Roman"/>
          <w:color w:val="000000"/>
        </w:rPr>
        <w:t xml:space="preserve">. </w:t>
      </w:r>
      <w:r>
        <w:rPr>
          <w:rFonts w:ascii="Times New Roman" w:hAnsi="Times New Roman" w:eastAsia="Times New Roman" w:cs="Times New Roman"/>
          <w:color w:val="000000"/>
        </w:rPr>
        <w:t xml:space="preserve">р</w:t>
      </w:r>
      <w:r>
        <w:rPr>
          <w:rFonts w:ascii="Times New Roman" w:hAnsi="Times New Roman" w:eastAsia="Times New Roman" w:cs="Times New Roman"/>
          <w:color w:val="000000"/>
        </w:rPr>
        <w:t xml:space="preserve">уб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</w:t>
      </w:r>
      <w:bookmarkStart w:id="0" w:name="_dx_frag_StartFragment"/>
      <w:r/>
      <w:bookmarkStart w:id="1" w:name="_dx_frag_EndFragment"/>
      <w:r/>
      <w:bookmarkEnd w:id="0"/>
      <w:r/>
      <w:bookmarkEnd w:id="1"/>
      <w:r/>
      <w:r>
        <w:rPr>
          <w:rFonts w:ascii="Times New Roman" w:hAnsi="Times New Roman" w:eastAsia="Times New Roman" w:cs="Times New Roman"/>
        </w:rPr>
      </w:r>
    </w:p>
    <w:tbl>
      <w:tblPr>
        <w:tblW w:w="9720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>
        <w:trPr>
          <w:trHeight w:val="51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Глава муниципального образования 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244,97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Центральный аппарат – исполнено в сумме 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451,80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Обеспечение деятельности подведомственных учреждений 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1 427,37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 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53,43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705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гражданская оборона 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10,0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Коммунальное хозяйство - исполнено  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1 383,69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Дорожный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фонд</w:t>
            </w:r>
            <w:r>
              <w:rPr>
                <w:rFonts w:ascii="Times New Roman" w:hAnsi="Times New Roman" w:cs="Times New Roman"/>
              </w:rPr>
              <w:t xml:space="preserve"> – исполнено в сумме</w:t>
            </w:r>
            <w:r>
              <w:rPr>
                <w:rFonts w:ascii="Times New Roman" w:hAnsi="Times New Roman" w:cs="Times New Roman"/>
              </w:rPr>
              <w:t xml:space="preserve"> 318,95 тыс. 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Социальная политика ( пенсионное обеспечение)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45,40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63"/>
        </w:trPr>
        <w:tc>
          <w:tcPr>
            <w:tcBorders/>
            <w:tcW w:w="97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Перечисления текущего характера другим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– исполнено в сумме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тыс. руб.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 w:right="-8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 </w:t>
      </w:r>
      <w:r>
        <w:rPr>
          <w:rFonts w:ascii="Times New Roman" w:hAnsi="Times New Roman" w:cs="Times New Roman"/>
          <w:sz w:val="18"/>
          <w:szCs w:val="18"/>
        </w:rPr>
        <w:t xml:space="preserve">А.Е. Кузьменко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Arial CYR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9"/>
    <w:next w:val="65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61"/>
    <w:link w:val="34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1"/>
    <w:link w:val="669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61"/>
    <w:link w:val="702"/>
    <w:uiPriority w:val="99"/>
    <w:pPr>
      <w:pBdr/>
      <w:spacing/>
      <w:ind/>
    </w:pPr>
  </w:style>
  <w:style w:type="character" w:styleId="45">
    <w:name w:val="Footer Char"/>
    <w:basedOn w:val="661"/>
    <w:link w:val="665"/>
    <w:uiPriority w:val="99"/>
    <w:pPr>
      <w:pBdr/>
      <w:spacing/>
      <w:ind/>
    </w:pPr>
  </w:style>
  <w:style w:type="paragraph" w:styleId="46">
    <w:name w:val="Caption"/>
    <w:basedOn w:val="659"/>
    <w:next w:val="65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  <w:pPr>
      <w:pBdr/>
      <w:spacing/>
      <w:ind/>
    </w:pPr>
  </w:style>
  <w:style w:type="table" w:styleId="48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9"/>
    <w:next w:val="65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9"/>
    <w:next w:val="65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9"/>
    <w:next w:val="65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9"/>
    <w:next w:val="65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9"/>
    <w:next w:val="65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9"/>
    <w:next w:val="65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9"/>
    <w:next w:val="65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9"/>
    <w:next w:val="65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9"/>
    <w:next w:val="659"/>
    <w:uiPriority w:val="99"/>
    <w:unhideWhenUsed/>
    <w:pPr>
      <w:pBdr/>
      <w:spacing w:after="0" w:afterAutospacing="0"/>
      <w:ind/>
    </w:pPr>
  </w:style>
  <w:style w:type="paragraph" w:styleId="659" w:default="1">
    <w:name w:val="Normal"/>
    <w:qFormat/>
    <w:pPr>
      <w:pBdr/>
      <w:spacing/>
      <w:ind/>
    </w:pPr>
  </w:style>
  <w:style w:type="paragraph" w:styleId="660">
    <w:name w:val="Heading 1"/>
    <w:basedOn w:val="659"/>
    <w:next w:val="659"/>
    <w:link w:val="664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character" w:styleId="664" w:customStyle="1">
    <w:name w:val="Заголовок 1 Знак"/>
    <w:basedOn w:val="661"/>
    <w:link w:val="660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5">
    <w:name w:val="Footer"/>
    <w:basedOn w:val="659"/>
    <w:link w:val="666"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666" w:customStyle="1">
    <w:name w:val="Нижний колонтитул Знак"/>
    <w:basedOn w:val="661"/>
    <w:link w:val="665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667">
    <w:name w:val="Normal (Web)"/>
    <w:basedOn w:val="65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68">
    <w:name w:val="No Spacing"/>
    <w:uiPriority w:val="1"/>
    <w:qFormat/>
    <w:pPr>
      <w:pBdr/>
      <w:spacing w:after="0" w:line="240" w:lineRule="auto"/>
      <w:ind/>
    </w:pPr>
  </w:style>
  <w:style w:type="paragraph" w:styleId="669">
    <w:name w:val="Subtitle"/>
    <w:basedOn w:val="659"/>
    <w:next w:val="659"/>
    <w:link w:val="670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0" w:customStyle="1">
    <w:name w:val="Подзаголовок Знак"/>
    <w:basedOn w:val="661"/>
    <w:link w:val="669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1">
    <w:name w:val="Hyperlink"/>
    <w:basedOn w:val="661"/>
    <w:uiPriority w:val="99"/>
    <w:unhideWhenUsed/>
    <w:pPr>
      <w:pBdr/>
      <w:spacing/>
      <w:ind/>
    </w:pPr>
    <w:rPr>
      <w:color w:val="0000ff"/>
      <w:u w:val="single"/>
    </w:rPr>
  </w:style>
  <w:style w:type="character" w:styleId="672">
    <w:name w:val="FollowedHyperlink"/>
    <w:basedOn w:val="661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673" w:customStyle="1">
    <w:name w:val="xl192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74" w:customStyle="1">
    <w:name w:val="xl193"/>
    <w:basedOn w:val="65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75" w:customStyle="1">
    <w:name w:val="xl194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76" w:customStyle="1">
    <w:name w:val="xl195"/>
    <w:basedOn w:val="659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77" w:customStyle="1">
    <w:name w:val="xl196"/>
    <w:basedOn w:val="659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78" w:customStyle="1">
    <w:name w:val="xl197"/>
    <w:basedOn w:val="65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79" w:customStyle="1">
    <w:name w:val="xl198"/>
    <w:basedOn w:val="65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0" w:customStyle="1">
    <w:name w:val="xl199"/>
    <w:basedOn w:val="65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1" w:customStyle="1">
    <w:name w:val="xl200"/>
    <w:basedOn w:val="659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2" w:customStyle="1">
    <w:name w:val="xl201"/>
    <w:basedOn w:val="659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3" w:customStyle="1">
    <w:name w:val="xl202"/>
    <w:basedOn w:val="659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4" w:customStyle="1">
    <w:name w:val="xl203"/>
    <w:basedOn w:val="659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5" w:customStyle="1">
    <w:name w:val="xl204"/>
    <w:basedOn w:val="65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6" w:customStyle="1">
    <w:name w:val="xl205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7" w:customStyle="1">
    <w:name w:val="xl206"/>
    <w:basedOn w:val="659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8" w:customStyle="1">
    <w:name w:val="xl207"/>
    <w:basedOn w:val="659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89" w:customStyle="1">
    <w:name w:val="xl208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0" w:customStyle="1">
    <w:name w:val="xl209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1" w:customStyle="1">
    <w:name w:val="xl210"/>
    <w:basedOn w:val="659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2" w:customStyle="1">
    <w:name w:val="xl211"/>
    <w:basedOn w:val="659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3" w:customStyle="1">
    <w:name w:val="xl212"/>
    <w:basedOn w:val="65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4" w:customStyle="1">
    <w:name w:val="xl213"/>
    <w:basedOn w:val="659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5" w:customStyle="1">
    <w:name w:val="xl214"/>
    <w:basedOn w:val="65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6" w:customStyle="1">
    <w:name w:val="xl215"/>
    <w:basedOn w:val="659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7" w:customStyle="1">
    <w:name w:val="xl216"/>
    <w:basedOn w:val="659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16"/>
      <w:szCs w:val="16"/>
    </w:rPr>
  </w:style>
  <w:style w:type="paragraph" w:styleId="698" w:customStyle="1">
    <w:name w:val="xl217"/>
    <w:basedOn w:val="659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16"/>
      <w:szCs w:val="16"/>
    </w:rPr>
  </w:style>
  <w:style w:type="character" w:styleId="699" w:customStyle="1">
    <w:name w:val="Line Number"/>
    <w:basedOn w:val="661"/>
    <w:uiPriority w:val="99"/>
    <w:pPr>
      <w:pBdr/>
      <w:spacing/>
      <w:ind/>
    </w:pPr>
    <w:rPr>
      <w:sz w:val="22"/>
      <w:szCs w:val="22"/>
    </w:rPr>
  </w:style>
  <w:style w:type="table" w:styleId="700">
    <w:name w:val="Table Simple 1"/>
    <w:basedOn w:val="662"/>
    <w:uiPriority w:val="99"/>
    <w:pPr>
      <w:pBdr/>
      <w:spacing w:after="0" w:line="240" w:lineRule="auto"/>
      <w:ind/>
    </w:pPr>
    <w:rPr>
      <w:rFonts w:ascii="Calibri" w:hAnsi="Calibri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  <w:tcMar>
        <w:left w:w="108" w:type="dxa"/>
        <w:right w:w="108" w:type="dxa"/>
      </w:tcMar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1">
    <w:name w:val="List Paragraph"/>
    <w:basedOn w:val="659"/>
    <w:uiPriority w:val="34"/>
    <w:qFormat/>
    <w:pPr>
      <w:pBdr/>
      <w:spacing/>
      <w:ind w:left="720"/>
      <w:contextualSpacing w:val="true"/>
    </w:pPr>
  </w:style>
  <w:style w:type="paragraph" w:styleId="702">
    <w:name w:val="Header"/>
    <w:basedOn w:val="659"/>
    <w:link w:val="703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3" w:customStyle="1">
    <w:name w:val="Верхний колонтитул Знак"/>
    <w:basedOn w:val="661"/>
    <w:link w:val="702"/>
    <w:uiPriority w:val="99"/>
    <w:semiHidden/>
    <w:pPr>
      <w:pBdr/>
      <w:spacing/>
      <w:ind/>
    </w:pPr>
  </w:style>
  <w:style w:type="paragraph" w:styleId="704" w:customStyle="1">
    <w:name w:val="xl90"/>
    <w:basedOn w:val="659"/>
    <w:pPr>
      <w:pBdr/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b/>
      <w:bCs/>
      <w:color w:val="000000"/>
      <w:sz w:val="24"/>
      <w:szCs w:val="24"/>
    </w:rPr>
  </w:style>
  <w:style w:type="paragraph" w:styleId="705" w:customStyle="1">
    <w:name w:val="xl91"/>
    <w:basedOn w:val="659"/>
    <w:pPr>
      <w:pBdr/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b/>
      <w:bCs/>
      <w:color w:val="000000"/>
      <w:sz w:val="24"/>
      <w:szCs w:val="24"/>
    </w:rPr>
  </w:style>
  <w:style w:type="paragraph" w:styleId="706" w:customStyle="1">
    <w:name w:val="xl92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20"/>
      <w:szCs w:val="20"/>
    </w:rPr>
  </w:style>
  <w:style w:type="paragraph" w:styleId="707" w:customStyle="1">
    <w:name w:val="xl93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708" w:customStyle="1">
    <w:name w:val="xl94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 CYR" w:hAnsi="Arial CYR" w:eastAsia="Times New Roman" w:cs="Arial CYR"/>
      <w:color w:val="000000"/>
      <w:sz w:val="20"/>
      <w:szCs w:val="20"/>
    </w:rPr>
  </w:style>
  <w:style w:type="paragraph" w:styleId="709" w:customStyle="1">
    <w:name w:val="xl95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ff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710" w:customStyle="1">
    <w:name w:val="xl96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ff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711" w:customStyle="1">
    <w:name w:val="xl97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cc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712" w:customStyle="1">
    <w:name w:val="xl98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cc"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b/>
      <w:bCs/>
      <w:color w:val="000000"/>
      <w:sz w:val="20"/>
      <w:szCs w:val="20"/>
    </w:rPr>
  </w:style>
  <w:style w:type="paragraph" w:styleId="713" w:customStyle="1">
    <w:name w:val="xl99"/>
    <w:basedOn w:val="659"/>
    <w:pPr>
      <w:pBdr/>
      <w:spacing w:after="100" w:afterAutospacing="1" w:before="100" w:beforeAutospacing="1" w:line="240" w:lineRule="auto"/>
      <w:ind/>
      <w:jc w:val="right"/>
    </w:pPr>
    <w:rPr>
      <w:rFonts w:ascii="Arial CYR" w:hAnsi="Arial CYR" w:eastAsia="Times New Roman" w:cs="Arial CYR"/>
      <w:color w:val="000000"/>
      <w:sz w:val="20"/>
      <w:szCs w:val="20"/>
    </w:rPr>
  </w:style>
  <w:style w:type="paragraph" w:styleId="714" w:customStyle="1">
    <w:name w:val="xl100"/>
    <w:basedOn w:val="65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Arial CYR" w:hAnsi="Arial CYR" w:eastAsia="Times New Roman" w:cs="Arial CYR"/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CFAF-8DBF-41AA-BCDE-70CF8B48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КАТАНАЕВА</dc:creator>
  <cp:keywords/>
  <dc:description/>
  <cp:revision>70</cp:revision>
  <dcterms:created xsi:type="dcterms:W3CDTF">2019-10-09T02:33:00Z</dcterms:created>
  <dcterms:modified xsi:type="dcterms:W3CDTF">2024-04-24T06:44:20Z</dcterms:modified>
</cp:coreProperties>
</file>